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1C383" w14:textId="5B630E56" w:rsidR="00D17DD5" w:rsidRPr="00D17DD5" w:rsidRDefault="00D17DD5" w:rsidP="00D17DD5">
      <w:pPr>
        <w:pStyle w:val="ASDANparagraph"/>
        <w:rPr>
          <w:b/>
          <w:bCs/>
          <w:sz w:val="28"/>
          <w:szCs w:val="28"/>
        </w:rPr>
      </w:pPr>
      <w:r w:rsidRPr="00D17DD5">
        <w:rPr>
          <w:b/>
          <w:bCs/>
          <w:sz w:val="28"/>
          <w:szCs w:val="28"/>
        </w:rPr>
        <w:t>ASDAN terms and conditions for non-members</w:t>
      </w:r>
    </w:p>
    <w:p w14:paraId="7949D990" w14:textId="77777777" w:rsidR="00D17DD5" w:rsidRDefault="00D17DD5" w:rsidP="00D17DD5">
      <w:pPr>
        <w:pStyle w:val="ASDANparagraph"/>
        <w:rPr>
          <w:b/>
          <w:bCs/>
        </w:rPr>
      </w:pPr>
    </w:p>
    <w:p w14:paraId="00E63B94" w14:textId="68434F66" w:rsidR="00D17DD5" w:rsidRPr="00D17DD5" w:rsidRDefault="00D17DD5" w:rsidP="00D17DD5">
      <w:pPr>
        <w:pStyle w:val="ASDANparagraph"/>
        <w:rPr>
          <w:b/>
          <w:bCs/>
        </w:rPr>
      </w:pPr>
      <w:r w:rsidRPr="00D17DD5">
        <w:rPr>
          <w:b/>
          <w:bCs/>
        </w:rPr>
        <w:t>Website and policy statement</w:t>
      </w:r>
      <w:r w:rsidRPr="00D17DD5">
        <w:br/>
      </w:r>
      <w:r w:rsidRPr="00D17DD5">
        <w:rPr>
          <w:rFonts w:hint="cs"/>
        </w:rPr>
        <w:t>By accessing or using ASDAN’s website or services, you agree to comply with and be bound by these Terms and Conditions, alongside ASDAN’s Privacy Policy.</w:t>
      </w:r>
      <w:r w:rsidRPr="00D17DD5">
        <w:rPr>
          <w:rFonts w:hint="cs"/>
        </w:rPr>
        <w:br/>
        <w:t xml:space="preserve">“ASDAN” refers to ASDAN Ltd, Wainbrook House, </w:t>
      </w:r>
      <w:proofErr w:type="spellStart"/>
      <w:r w:rsidRPr="00D17DD5">
        <w:rPr>
          <w:rFonts w:hint="cs"/>
        </w:rPr>
        <w:t>Hudds</w:t>
      </w:r>
      <w:proofErr w:type="spellEnd"/>
      <w:r w:rsidRPr="00D17DD5">
        <w:rPr>
          <w:rFonts w:hint="cs"/>
        </w:rPr>
        <w:t xml:space="preserve"> Vale Road, St. George, Bristol BS5 7HY.</w:t>
      </w:r>
    </w:p>
    <w:p w14:paraId="3E0CD364" w14:textId="77777777" w:rsidR="00D17DD5" w:rsidRDefault="00D17DD5" w:rsidP="00D17DD5">
      <w:pPr>
        <w:pStyle w:val="ASDANparagraph"/>
        <w:rPr>
          <w:b/>
          <w:bCs/>
        </w:rPr>
      </w:pPr>
    </w:p>
    <w:p w14:paraId="1B885F14" w14:textId="212C5D87" w:rsidR="00D17DD5" w:rsidRPr="00D17DD5" w:rsidRDefault="00D17DD5" w:rsidP="00D17DD5">
      <w:pPr>
        <w:pStyle w:val="ASDANparagraph"/>
        <w:rPr>
          <w:b/>
          <w:bCs/>
        </w:rPr>
      </w:pPr>
      <w:r w:rsidRPr="00D17DD5">
        <w:rPr>
          <w:b/>
          <w:bCs/>
        </w:rPr>
        <w:t>Website use</w:t>
      </w:r>
    </w:p>
    <w:p w14:paraId="59B45297" w14:textId="77777777" w:rsidR="00D17DD5" w:rsidRPr="00D17DD5" w:rsidRDefault="00D17DD5" w:rsidP="00D17DD5">
      <w:pPr>
        <w:pStyle w:val="ASDANparagraph"/>
        <w:numPr>
          <w:ilvl w:val="0"/>
          <w:numId w:val="24"/>
        </w:numPr>
      </w:pPr>
      <w:r w:rsidRPr="00D17DD5">
        <w:rPr>
          <w:rFonts w:hint="cs"/>
        </w:rPr>
        <w:t>By using ASDAN’s website, you agree to these terms and our Privacy Policy.</w:t>
      </w:r>
    </w:p>
    <w:p w14:paraId="75D14567" w14:textId="77777777" w:rsidR="00D17DD5" w:rsidRPr="00D17DD5" w:rsidRDefault="00D17DD5" w:rsidP="00D17DD5">
      <w:pPr>
        <w:pStyle w:val="ASDANparagraph"/>
        <w:numPr>
          <w:ilvl w:val="0"/>
          <w:numId w:val="24"/>
        </w:numPr>
      </w:pPr>
      <w:r w:rsidRPr="00D17DD5">
        <w:rPr>
          <w:rFonts w:hint="cs"/>
        </w:rPr>
        <w:t>Website content is for general use and may change without notice.</w:t>
      </w:r>
    </w:p>
    <w:p w14:paraId="78608124" w14:textId="77777777" w:rsidR="00D17DD5" w:rsidRPr="00D17DD5" w:rsidRDefault="00D17DD5" w:rsidP="00D17DD5">
      <w:pPr>
        <w:pStyle w:val="ASDANparagraph"/>
        <w:numPr>
          <w:ilvl w:val="0"/>
          <w:numId w:val="24"/>
        </w:numPr>
      </w:pPr>
      <w:r w:rsidRPr="00D17DD5">
        <w:rPr>
          <w:rFonts w:hint="cs"/>
        </w:rPr>
        <w:t>ASDAN does not guarantee the accuracy or suitability of website content; use is at your own risk.</w:t>
      </w:r>
    </w:p>
    <w:p w14:paraId="294744AE" w14:textId="77777777" w:rsidR="00D17DD5" w:rsidRPr="00D17DD5" w:rsidRDefault="00D17DD5" w:rsidP="00D17DD5">
      <w:pPr>
        <w:pStyle w:val="ASDANparagraph"/>
        <w:numPr>
          <w:ilvl w:val="0"/>
          <w:numId w:val="24"/>
        </w:numPr>
      </w:pPr>
      <w:r w:rsidRPr="00D17DD5">
        <w:rPr>
          <w:rFonts w:hint="cs"/>
        </w:rPr>
        <w:t>All website material is owned or licensed by ASDAN and protected by copyright.</w:t>
      </w:r>
    </w:p>
    <w:p w14:paraId="2E2291C4" w14:textId="77777777" w:rsidR="00D17DD5" w:rsidRPr="00D17DD5" w:rsidRDefault="00D17DD5" w:rsidP="00D17DD5">
      <w:pPr>
        <w:pStyle w:val="ASDANparagraph"/>
        <w:numPr>
          <w:ilvl w:val="0"/>
          <w:numId w:val="24"/>
        </w:numPr>
      </w:pPr>
      <w:proofErr w:type="spellStart"/>
      <w:r w:rsidRPr="00D17DD5">
        <w:rPr>
          <w:rFonts w:hint="cs"/>
        </w:rPr>
        <w:t>Unauthorised</w:t>
      </w:r>
      <w:proofErr w:type="spellEnd"/>
      <w:r w:rsidRPr="00D17DD5">
        <w:rPr>
          <w:rFonts w:hint="cs"/>
        </w:rPr>
        <w:t xml:space="preserve"> use may result in legal action.</w:t>
      </w:r>
    </w:p>
    <w:p w14:paraId="7F3EDBC6" w14:textId="77777777" w:rsidR="00D17DD5" w:rsidRPr="00D17DD5" w:rsidRDefault="00D17DD5" w:rsidP="00D17DD5">
      <w:pPr>
        <w:pStyle w:val="ASDANparagraph"/>
        <w:numPr>
          <w:ilvl w:val="0"/>
          <w:numId w:val="24"/>
        </w:numPr>
      </w:pPr>
      <w:r w:rsidRPr="00D17DD5">
        <w:rPr>
          <w:rFonts w:hint="cs"/>
        </w:rPr>
        <w:t>Links to external websites are for convenience only; ASDAN is not responsible for their content.</w:t>
      </w:r>
    </w:p>
    <w:p w14:paraId="29823763" w14:textId="77777777" w:rsidR="00D17DD5" w:rsidRPr="00D17DD5" w:rsidRDefault="00D17DD5" w:rsidP="00D17DD5">
      <w:pPr>
        <w:pStyle w:val="ASDANparagraph"/>
        <w:numPr>
          <w:ilvl w:val="0"/>
          <w:numId w:val="24"/>
        </w:numPr>
      </w:pPr>
      <w:r w:rsidRPr="00D17DD5">
        <w:rPr>
          <w:rFonts w:hint="cs"/>
        </w:rPr>
        <w:t>Use of the website and any disputes are governed by English law and the non-exclusive jurisdiction of the courts of England and Wales.</w:t>
      </w:r>
    </w:p>
    <w:p w14:paraId="03939F92" w14:textId="77777777" w:rsidR="00D17DD5" w:rsidRPr="00D17DD5" w:rsidRDefault="00D17DD5" w:rsidP="00D17DD5">
      <w:pPr>
        <w:pStyle w:val="ASDANparagraph"/>
        <w:numPr>
          <w:ilvl w:val="0"/>
          <w:numId w:val="24"/>
        </w:numPr>
      </w:pPr>
      <w:r w:rsidRPr="00D17DD5">
        <w:rPr>
          <w:rFonts w:hint="cs"/>
        </w:rPr>
        <w:t>Cookies are used to ensure website functionality and improve user experience.</w:t>
      </w:r>
    </w:p>
    <w:p w14:paraId="75214557" w14:textId="77777777" w:rsidR="00D17DD5" w:rsidRDefault="00D17DD5" w:rsidP="00D17DD5">
      <w:pPr>
        <w:pStyle w:val="ASDANparagraph"/>
        <w:rPr>
          <w:b/>
          <w:bCs/>
        </w:rPr>
      </w:pPr>
    </w:p>
    <w:p w14:paraId="515D45E8" w14:textId="123422A1" w:rsidR="00D17DD5" w:rsidRPr="00D17DD5" w:rsidRDefault="00D17DD5" w:rsidP="00D17DD5">
      <w:pPr>
        <w:pStyle w:val="ASDANparagraph"/>
        <w:rPr>
          <w:b/>
          <w:bCs/>
        </w:rPr>
      </w:pPr>
      <w:r w:rsidRPr="00D17DD5">
        <w:rPr>
          <w:b/>
          <w:bCs/>
        </w:rPr>
        <w:t>Agreement for purchases</w:t>
      </w:r>
    </w:p>
    <w:p w14:paraId="024FB305" w14:textId="77777777" w:rsidR="00D17DD5" w:rsidRPr="00D17DD5" w:rsidRDefault="00D17DD5" w:rsidP="00D17DD5">
      <w:pPr>
        <w:pStyle w:val="ASDANparagraph"/>
        <w:numPr>
          <w:ilvl w:val="0"/>
          <w:numId w:val="25"/>
        </w:numPr>
      </w:pPr>
      <w:r w:rsidRPr="00D17DD5">
        <w:rPr>
          <w:rFonts w:hint="cs"/>
        </w:rPr>
        <w:t>The Agreement begins when your first purchase is submitted.</w:t>
      </w:r>
    </w:p>
    <w:p w14:paraId="46938335" w14:textId="77777777" w:rsidR="00D17DD5" w:rsidRPr="00D17DD5" w:rsidRDefault="00D17DD5" w:rsidP="00D17DD5">
      <w:pPr>
        <w:pStyle w:val="ASDANparagraph"/>
        <w:numPr>
          <w:ilvl w:val="0"/>
          <w:numId w:val="25"/>
        </w:numPr>
      </w:pPr>
      <w:r w:rsidRPr="00D17DD5">
        <w:rPr>
          <w:rFonts w:hint="cs"/>
        </w:rPr>
        <w:t>There is no membership fee for non-members.</w:t>
      </w:r>
    </w:p>
    <w:p w14:paraId="241D7188" w14:textId="77777777" w:rsidR="00D17DD5" w:rsidRPr="00D17DD5" w:rsidRDefault="00D17DD5" w:rsidP="00D17DD5">
      <w:pPr>
        <w:pStyle w:val="ASDANparagraph"/>
        <w:numPr>
          <w:ilvl w:val="0"/>
          <w:numId w:val="25"/>
        </w:numPr>
      </w:pPr>
      <w:r w:rsidRPr="00D17DD5">
        <w:rPr>
          <w:rFonts w:hint="cs"/>
        </w:rPr>
        <w:t>You must provide an active email address and maintain robust organisational policies if requested by ASDAN.</w:t>
      </w:r>
    </w:p>
    <w:p w14:paraId="4FEB0CD8" w14:textId="77777777" w:rsidR="00D17DD5" w:rsidRDefault="00D17DD5" w:rsidP="00D17DD5">
      <w:pPr>
        <w:pStyle w:val="ASDANparagraph"/>
        <w:rPr>
          <w:b/>
          <w:bCs/>
        </w:rPr>
      </w:pPr>
    </w:p>
    <w:p w14:paraId="189940C1" w14:textId="186E060E" w:rsidR="00D17DD5" w:rsidRPr="00D17DD5" w:rsidRDefault="00D17DD5" w:rsidP="00D17DD5">
      <w:pPr>
        <w:pStyle w:val="ASDANparagraph"/>
        <w:rPr>
          <w:b/>
          <w:bCs/>
        </w:rPr>
      </w:pPr>
      <w:r w:rsidRPr="00D17DD5">
        <w:rPr>
          <w:b/>
          <w:bCs/>
        </w:rPr>
        <w:t>Fees and payments</w:t>
      </w:r>
    </w:p>
    <w:p w14:paraId="4A55F77E" w14:textId="77777777" w:rsidR="00D17DD5" w:rsidRPr="00D17DD5" w:rsidRDefault="00D17DD5" w:rsidP="00D17DD5">
      <w:pPr>
        <w:pStyle w:val="ASDANparagraph"/>
        <w:numPr>
          <w:ilvl w:val="0"/>
          <w:numId w:val="26"/>
        </w:numPr>
      </w:pPr>
      <w:r w:rsidRPr="00D17DD5">
        <w:rPr>
          <w:rFonts w:hint="cs"/>
        </w:rPr>
        <w:t>Payment is due within 30 days; late payments may incur interest and legal action.</w:t>
      </w:r>
    </w:p>
    <w:p w14:paraId="5F046C45" w14:textId="77777777" w:rsidR="00D17DD5" w:rsidRPr="00D17DD5" w:rsidRDefault="00D17DD5" w:rsidP="00D17DD5">
      <w:pPr>
        <w:pStyle w:val="ASDANparagraph"/>
        <w:numPr>
          <w:ilvl w:val="0"/>
          <w:numId w:val="26"/>
        </w:numPr>
      </w:pPr>
      <w:r w:rsidRPr="00D17DD5">
        <w:rPr>
          <w:rFonts w:hint="cs"/>
        </w:rPr>
        <w:t>Payments can be made via cheque or BACS, quoting the account and invoice numbers.</w:t>
      </w:r>
    </w:p>
    <w:p w14:paraId="47BA888E" w14:textId="77777777" w:rsidR="00D17DD5" w:rsidRPr="00D17DD5" w:rsidRDefault="00D17DD5" w:rsidP="00D17DD5">
      <w:pPr>
        <w:pStyle w:val="ASDANparagraph"/>
        <w:numPr>
          <w:ilvl w:val="0"/>
          <w:numId w:val="26"/>
        </w:numPr>
      </w:pPr>
      <w:r w:rsidRPr="00D17DD5">
        <w:rPr>
          <w:rFonts w:hint="cs"/>
        </w:rPr>
        <w:t>Foreign currency invoices incur an FX fee.</w:t>
      </w:r>
    </w:p>
    <w:p w14:paraId="5A15823B" w14:textId="77777777" w:rsidR="00D17DD5" w:rsidRPr="00D17DD5" w:rsidRDefault="00D17DD5" w:rsidP="00D17DD5">
      <w:pPr>
        <w:pStyle w:val="ASDANparagraph"/>
        <w:numPr>
          <w:ilvl w:val="0"/>
          <w:numId w:val="26"/>
        </w:numPr>
      </w:pPr>
      <w:r w:rsidRPr="00D17DD5">
        <w:rPr>
          <w:rFonts w:hint="cs"/>
        </w:rPr>
        <w:lastRenderedPageBreak/>
        <w:t>Price changes will be notified at least 30 days in advance and posted on the ASDAN pricing page.</w:t>
      </w:r>
    </w:p>
    <w:p w14:paraId="0631F8B0" w14:textId="77777777" w:rsidR="00D17DD5" w:rsidRPr="00D17DD5" w:rsidRDefault="00D17DD5" w:rsidP="00D17DD5">
      <w:pPr>
        <w:pStyle w:val="ASDANparagraph"/>
        <w:numPr>
          <w:ilvl w:val="0"/>
          <w:numId w:val="26"/>
        </w:numPr>
      </w:pPr>
      <w:r w:rsidRPr="00D17DD5">
        <w:rPr>
          <w:rFonts w:hint="cs"/>
        </w:rPr>
        <w:t xml:space="preserve">Orders placed before a price change will be </w:t>
      </w:r>
      <w:proofErr w:type="spellStart"/>
      <w:r w:rsidRPr="00D17DD5">
        <w:rPr>
          <w:rFonts w:hint="cs"/>
        </w:rPr>
        <w:t>honoured</w:t>
      </w:r>
      <w:proofErr w:type="spellEnd"/>
      <w:r w:rsidRPr="00D17DD5">
        <w:rPr>
          <w:rFonts w:hint="cs"/>
        </w:rPr>
        <w:t xml:space="preserve"> at the previous price.</w:t>
      </w:r>
    </w:p>
    <w:p w14:paraId="461E36F4" w14:textId="493F717D" w:rsidR="00D17DD5" w:rsidRPr="00D17DD5" w:rsidRDefault="00D17DD5" w:rsidP="00D17DD5">
      <w:pPr>
        <w:pStyle w:val="ASDANparagraph"/>
        <w:numPr>
          <w:ilvl w:val="0"/>
          <w:numId w:val="26"/>
        </w:numPr>
      </w:pPr>
      <w:r w:rsidRPr="00D17DD5">
        <w:rPr>
          <w:rFonts w:hint="cs"/>
        </w:rPr>
        <w:t>Any out-of-pocket costs (</w:t>
      </w:r>
      <w:proofErr w:type="spellStart"/>
      <w:r w:rsidRPr="00D17DD5">
        <w:rPr>
          <w:rFonts w:hint="cs"/>
        </w:rPr>
        <w:t>eg</w:t>
      </w:r>
      <w:proofErr w:type="spellEnd"/>
      <w:r w:rsidRPr="00D17DD5">
        <w:rPr>
          <w:rFonts w:hint="cs"/>
        </w:rPr>
        <w:t xml:space="preserve"> postage, redelivery) are payable by the </w:t>
      </w:r>
      <w:r>
        <w:t>p</w:t>
      </w:r>
      <w:r w:rsidRPr="00D17DD5">
        <w:rPr>
          <w:rFonts w:hint="cs"/>
        </w:rPr>
        <w:t>urchaser.</w:t>
      </w:r>
    </w:p>
    <w:p w14:paraId="112F0A4F" w14:textId="77777777" w:rsidR="00D17DD5" w:rsidRDefault="00D17DD5" w:rsidP="00D17DD5">
      <w:pPr>
        <w:pStyle w:val="ASDANparagraph"/>
        <w:rPr>
          <w:b/>
          <w:bCs/>
        </w:rPr>
      </w:pPr>
    </w:p>
    <w:p w14:paraId="102EFF44" w14:textId="475CF9EA" w:rsidR="00D17DD5" w:rsidRPr="00D17DD5" w:rsidRDefault="00D17DD5" w:rsidP="00D17DD5">
      <w:pPr>
        <w:pStyle w:val="ASDANparagraph"/>
        <w:rPr>
          <w:b/>
          <w:bCs/>
        </w:rPr>
      </w:pPr>
      <w:r w:rsidRPr="00D17DD5">
        <w:rPr>
          <w:b/>
          <w:bCs/>
        </w:rPr>
        <w:t>Credit notes</w:t>
      </w:r>
    </w:p>
    <w:p w14:paraId="76039842" w14:textId="77777777" w:rsidR="00D17DD5" w:rsidRPr="00D17DD5" w:rsidRDefault="00D17DD5" w:rsidP="00D17DD5">
      <w:pPr>
        <w:pStyle w:val="ASDANparagraph"/>
        <w:numPr>
          <w:ilvl w:val="0"/>
          <w:numId w:val="27"/>
        </w:numPr>
      </w:pPr>
      <w:r w:rsidRPr="00D17DD5">
        <w:rPr>
          <w:rFonts w:hint="cs"/>
        </w:rPr>
        <w:t>Credit notes must be used within 12 months.</w:t>
      </w:r>
    </w:p>
    <w:p w14:paraId="02F523E7" w14:textId="77777777" w:rsidR="00D17DD5" w:rsidRPr="00D17DD5" w:rsidRDefault="00D17DD5" w:rsidP="00D17DD5">
      <w:pPr>
        <w:pStyle w:val="ASDANparagraph"/>
        <w:numPr>
          <w:ilvl w:val="0"/>
          <w:numId w:val="27"/>
        </w:numPr>
      </w:pPr>
      <w:r w:rsidRPr="00D17DD5">
        <w:rPr>
          <w:rFonts w:hint="cs"/>
        </w:rPr>
        <w:t>Returns incur a 10% handling fee, unless items are faulty.</w:t>
      </w:r>
    </w:p>
    <w:p w14:paraId="791EB924" w14:textId="77777777" w:rsidR="00D17DD5" w:rsidRDefault="00D17DD5" w:rsidP="00D17DD5">
      <w:pPr>
        <w:pStyle w:val="ASDANparagraph"/>
        <w:rPr>
          <w:b/>
          <w:bCs/>
        </w:rPr>
      </w:pPr>
    </w:p>
    <w:p w14:paraId="116EF537" w14:textId="7B33656B" w:rsidR="00D17DD5" w:rsidRPr="00D17DD5" w:rsidRDefault="00D17DD5" w:rsidP="00D17DD5">
      <w:pPr>
        <w:pStyle w:val="ASDANparagraph"/>
        <w:rPr>
          <w:b/>
          <w:bCs/>
        </w:rPr>
      </w:pPr>
      <w:r w:rsidRPr="00D17DD5">
        <w:rPr>
          <w:b/>
          <w:bCs/>
        </w:rPr>
        <w:t>Intellectual property</w:t>
      </w:r>
    </w:p>
    <w:p w14:paraId="68C1FD79" w14:textId="77777777" w:rsidR="00D17DD5" w:rsidRPr="00D17DD5" w:rsidRDefault="00D17DD5" w:rsidP="00D17DD5">
      <w:pPr>
        <w:pStyle w:val="ASDANparagraph"/>
        <w:numPr>
          <w:ilvl w:val="0"/>
          <w:numId w:val="28"/>
        </w:numPr>
      </w:pPr>
      <w:r w:rsidRPr="00D17DD5">
        <w:rPr>
          <w:rFonts w:hint="cs"/>
        </w:rPr>
        <w:t>All copyrights, trademarks, and IP in ASDAN materials and websites belong to ASDAN or its licensors.</w:t>
      </w:r>
    </w:p>
    <w:p w14:paraId="7525E82A" w14:textId="77777777" w:rsidR="00D17DD5" w:rsidRPr="00D17DD5" w:rsidRDefault="00D17DD5" w:rsidP="00D17DD5">
      <w:pPr>
        <w:pStyle w:val="ASDANparagraph"/>
        <w:numPr>
          <w:ilvl w:val="0"/>
          <w:numId w:val="28"/>
        </w:numPr>
      </w:pPr>
      <w:r w:rsidRPr="00D17DD5">
        <w:rPr>
          <w:rFonts w:hint="cs"/>
        </w:rPr>
        <w:t>Materials may only be used for personal, non-commercial purposes unless you have written permission.</w:t>
      </w:r>
    </w:p>
    <w:p w14:paraId="4A4891F6" w14:textId="77777777" w:rsidR="00D17DD5" w:rsidRPr="00D17DD5" w:rsidRDefault="00D17DD5" w:rsidP="00D17DD5">
      <w:pPr>
        <w:pStyle w:val="ASDANparagraph"/>
        <w:numPr>
          <w:ilvl w:val="0"/>
          <w:numId w:val="28"/>
        </w:numPr>
      </w:pPr>
      <w:r w:rsidRPr="00D17DD5">
        <w:rPr>
          <w:rFonts w:hint="cs"/>
        </w:rPr>
        <w:t>The ASDAN logo cannot be used without written consent.</w:t>
      </w:r>
    </w:p>
    <w:p w14:paraId="5D146A33" w14:textId="77777777" w:rsidR="00D17DD5" w:rsidRPr="00D17DD5" w:rsidRDefault="00D17DD5" w:rsidP="00D17DD5">
      <w:pPr>
        <w:pStyle w:val="ASDANparagraph"/>
        <w:numPr>
          <w:ilvl w:val="0"/>
          <w:numId w:val="28"/>
        </w:numPr>
      </w:pPr>
      <w:r w:rsidRPr="00D17DD5">
        <w:rPr>
          <w:rFonts w:hint="cs"/>
        </w:rPr>
        <w:t>References to ASDAN must not be inaccurate or misleading.</w:t>
      </w:r>
    </w:p>
    <w:p w14:paraId="4BE5DC56" w14:textId="77777777" w:rsidR="00D17DD5" w:rsidRDefault="00D17DD5" w:rsidP="00D17DD5">
      <w:pPr>
        <w:pStyle w:val="ASDANparagraph"/>
        <w:rPr>
          <w:b/>
          <w:bCs/>
        </w:rPr>
      </w:pPr>
    </w:p>
    <w:p w14:paraId="733B0C94" w14:textId="52767AB7" w:rsidR="00D17DD5" w:rsidRPr="00D17DD5" w:rsidRDefault="00D17DD5" w:rsidP="00D17DD5">
      <w:pPr>
        <w:pStyle w:val="ASDANparagraph"/>
        <w:rPr>
          <w:b/>
          <w:bCs/>
        </w:rPr>
      </w:pPr>
      <w:r w:rsidRPr="00D17DD5">
        <w:rPr>
          <w:b/>
          <w:bCs/>
        </w:rPr>
        <w:t>Books and digital materials</w:t>
      </w:r>
    </w:p>
    <w:p w14:paraId="3B5E72BE" w14:textId="77777777" w:rsidR="00D17DD5" w:rsidRPr="00D17DD5" w:rsidRDefault="00D17DD5" w:rsidP="00D17DD5">
      <w:pPr>
        <w:pStyle w:val="ASDANparagraph"/>
        <w:numPr>
          <w:ilvl w:val="0"/>
          <w:numId w:val="29"/>
        </w:numPr>
      </w:pPr>
      <w:r w:rsidRPr="00D17DD5">
        <w:rPr>
          <w:rFonts w:hint="cs"/>
        </w:rPr>
        <w:t>Books and materials are delivered to the registered address unless agreed otherwise.</w:t>
      </w:r>
    </w:p>
    <w:p w14:paraId="3164A8EF" w14:textId="77777777" w:rsidR="00D17DD5" w:rsidRPr="00D17DD5" w:rsidRDefault="00D17DD5" w:rsidP="00D17DD5">
      <w:pPr>
        <w:pStyle w:val="ASDANparagraph"/>
        <w:numPr>
          <w:ilvl w:val="0"/>
          <w:numId w:val="29"/>
        </w:numPr>
      </w:pPr>
      <w:r w:rsidRPr="00D17DD5">
        <w:rPr>
          <w:rFonts w:hint="cs"/>
        </w:rPr>
        <w:t>Errors in ordering are the Purchaser’s responsibility; refunds are not given for these.</w:t>
      </w:r>
    </w:p>
    <w:p w14:paraId="7DB19E5B" w14:textId="77777777" w:rsidR="00D17DD5" w:rsidRPr="00D17DD5" w:rsidRDefault="00D17DD5" w:rsidP="00D17DD5">
      <w:pPr>
        <w:pStyle w:val="ASDANparagraph"/>
        <w:numPr>
          <w:ilvl w:val="0"/>
          <w:numId w:val="29"/>
        </w:numPr>
      </w:pPr>
      <w:r w:rsidRPr="00D17DD5">
        <w:rPr>
          <w:rFonts w:hint="cs"/>
        </w:rPr>
        <w:t>Faulty or misprinted items can be returned within 30 days in original condition.</w:t>
      </w:r>
    </w:p>
    <w:p w14:paraId="2214F87B" w14:textId="77777777" w:rsidR="00D17DD5" w:rsidRPr="00D17DD5" w:rsidRDefault="00D17DD5" w:rsidP="00D17DD5">
      <w:pPr>
        <w:pStyle w:val="ASDANparagraph"/>
        <w:numPr>
          <w:ilvl w:val="0"/>
          <w:numId w:val="29"/>
        </w:numPr>
      </w:pPr>
      <w:r w:rsidRPr="00D17DD5">
        <w:rPr>
          <w:rFonts w:hint="cs"/>
        </w:rPr>
        <w:t>Digital products are provided via the member downloads page after payment.</w:t>
      </w:r>
    </w:p>
    <w:p w14:paraId="198D3E0F" w14:textId="77777777" w:rsidR="00D17DD5" w:rsidRPr="00D17DD5" w:rsidRDefault="00D17DD5" w:rsidP="00D17DD5">
      <w:pPr>
        <w:pStyle w:val="ASDANparagraph"/>
        <w:numPr>
          <w:ilvl w:val="0"/>
          <w:numId w:val="29"/>
        </w:numPr>
      </w:pPr>
      <w:r w:rsidRPr="00D17DD5">
        <w:rPr>
          <w:rFonts w:hint="cs"/>
        </w:rPr>
        <w:t>No refunds are issued for digital products once accessed.</w:t>
      </w:r>
    </w:p>
    <w:p w14:paraId="3FE58708" w14:textId="77777777" w:rsidR="00D17DD5" w:rsidRDefault="00D17DD5" w:rsidP="00D17DD5">
      <w:pPr>
        <w:pStyle w:val="ASDANparagraph"/>
        <w:rPr>
          <w:b/>
          <w:bCs/>
        </w:rPr>
      </w:pPr>
    </w:p>
    <w:p w14:paraId="5A9281D7" w14:textId="1FFD008A" w:rsidR="00D17DD5" w:rsidRPr="00D17DD5" w:rsidRDefault="00D17DD5" w:rsidP="00D17DD5">
      <w:pPr>
        <w:pStyle w:val="ASDANparagraph"/>
        <w:rPr>
          <w:b/>
          <w:bCs/>
        </w:rPr>
      </w:pPr>
      <w:r w:rsidRPr="00D17DD5">
        <w:rPr>
          <w:b/>
          <w:bCs/>
        </w:rPr>
        <w:t>Data protection (</w:t>
      </w:r>
      <w:r>
        <w:rPr>
          <w:b/>
          <w:bCs/>
        </w:rPr>
        <w:t>GDPR</w:t>
      </w:r>
      <w:r w:rsidRPr="00D17DD5">
        <w:rPr>
          <w:b/>
          <w:bCs/>
        </w:rPr>
        <w:t>)</w:t>
      </w:r>
    </w:p>
    <w:p w14:paraId="418BFE61" w14:textId="77777777" w:rsidR="00D17DD5" w:rsidRPr="00D17DD5" w:rsidRDefault="00D17DD5" w:rsidP="00D17DD5">
      <w:pPr>
        <w:pStyle w:val="ASDANparagraph"/>
        <w:numPr>
          <w:ilvl w:val="0"/>
          <w:numId w:val="30"/>
        </w:numPr>
      </w:pPr>
      <w:r w:rsidRPr="00D17DD5">
        <w:rPr>
          <w:rFonts w:hint="cs"/>
        </w:rPr>
        <w:t>ASDAN processes personal data in line with its Privacy Policy.</w:t>
      </w:r>
    </w:p>
    <w:p w14:paraId="32AAB0F2" w14:textId="77777777" w:rsidR="00D17DD5" w:rsidRPr="00D17DD5" w:rsidRDefault="00D17DD5" w:rsidP="00D17DD5">
      <w:pPr>
        <w:pStyle w:val="ASDANparagraph"/>
        <w:numPr>
          <w:ilvl w:val="0"/>
          <w:numId w:val="30"/>
        </w:numPr>
      </w:pPr>
      <w:r w:rsidRPr="00D17DD5">
        <w:rPr>
          <w:rFonts w:hint="cs"/>
        </w:rPr>
        <w:t>Purchasers must comply with GDPR and the Data Protection Act 2018.</w:t>
      </w:r>
    </w:p>
    <w:p w14:paraId="5953085B" w14:textId="77777777" w:rsidR="00D17DD5" w:rsidRPr="00D17DD5" w:rsidRDefault="00D17DD5" w:rsidP="00D17DD5">
      <w:pPr>
        <w:pStyle w:val="ASDANparagraph"/>
        <w:numPr>
          <w:ilvl w:val="0"/>
          <w:numId w:val="30"/>
        </w:numPr>
      </w:pPr>
      <w:r w:rsidRPr="00D17DD5">
        <w:rPr>
          <w:rFonts w:hint="cs"/>
        </w:rPr>
        <w:t>ASDAN does not share personal data for marketing without consent.</w:t>
      </w:r>
    </w:p>
    <w:p w14:paraId="79E0FAF5" w14:textId="77777777" w:rsidR="00D17DD5" w:rsidRDefault="00D17DD5" w:rsidP="00D17DD5">
      <w:pPr>
        <w:pStyle w:val="ASDANparagraph"/>
        <w:rPr>
          <w:b/>
          <w:bCs/>
        </w:rPr>
      </w:pPr>
    </w:p>
    <w:p w14:paraId="61748018" w14:textId="2FDE2FEA" w:rsidR="00D17DD5" w:rsidRPr="00D17DD5" w:rsidRDefault="00D17DD5" w:rsidP="00D17DD5">
      <w:pPr>
        <w:pStyle w:val="ASDANparagraph"/>
        <w:rPr>
          <w:b/>
          <w:bCs/>
        </w:rPr>
      </w:pPr>
      <w:r w:rsidRPr="00D17DD5">
        <w:rPr>
          <w:b/>
          <w:bCs/>
        </w:rPr>
        <w:lastRenderedPageBreak/>
        <w:t>Website access and security</w:t>
      </w:r>
    </w:p>
    <w:p w14:paraId="4D630E48" w14:textId="77777777" w:rsidR="00D17DD5" w:rsidRPr="00D17DD5" w:rsidRDefault="00D17DD5" w:rsidP="00D17DD5">
      <w:pPr>
        <w:pStyle w:val="ASDANparagraph"/>
        <w:numPr>
          <w:ilvl w:val="0"/>
          <w:numId w:val="31"/>
        </w:numPr>
      </w:pPr>
      <w:r w:rsidRPr="00D17DD5">
        <w:rPr>
          <w:rFonts w:hint="cs"/>
        </w:rPr>
        <w:t>Purchasers must keep usernames and passwords secure.</w:t>
      </w:r>
    </w:p>
    <w:p w14:paraId="6C27B9C5" w14:textId="77777777" w:rsidR="00D17DD5" w:rsidRPr="00D17DD5" w:rsidRDefault="00D17DD5" w:rsidP="00D17DD5">
      <w:pPr>
        <w:pStyle w:val="ASDANparagraph"/>
        <w:numPr>
          <w:ilvl w:val="0"/>
          <w:numId w:val="31"/>
        </w:numPr>
      </w:pPr>
      <w:r w:rsidRPr="00D17DD5">
        <w:rPr>
          <w:rFonts w:hint="cs"/>
        </w:rPr>
        <w:t xml:space="preserve">Inform ASDAN immediately of any </w:t>
      </w:r>
      <w:proofErr w:type="spellStart"/>
      <w:r w:rsidRPr="00D17DD5">
        <w:rPr>
          <w:rFonts w:hint="cs"/>
        </w:rPr>
        <w:t>unauthorised</w:t>
      </w:r>
      <w:proofErr w:type="spellEnd"/>
      <w:r w:rsidRPr="00D17DD5">
        <w:rPr>
          <w:rFonts w:hint="cs"/>
        </w:rPr>
        <w:t xml:space="preserve"> access.</w:t>
      </w:r>
    </w:p>
    <w:p w14:paraId="4B0E9DB2" w14:textId="77777777" w:rsidR="00D17DD5" w:rsidRPr="00D17DD5" w:rsidRDefault="00D17DD5" w:rsidP="00D17DD5">
      <w:pPr>
        <w:pStyle w:val="ASDANparagraph"/>
        <w:numPr>
          <w:ilvl w:val="0"/>
          <w:numId w:val="31"/>
        </w:numPr>
      </w:pPr>
      <w:r w:rsidRPr="00D17DD5">
        <w:rPr>
          <w:rFonts w:hint="cs"/>
        </w:rPr>
        <w:t>ASDAN may withdraw website access if misuse is suspected.</w:t>
      </w:r>
    </w:p>
    <w:p w14:paraId="1861C138" w14:textId="77777777" w:rsidR="00D17DD5" w:rsidRDefault="00D17DD5" w:rsidP="00D17DD5">
      <w:pPr>
        <w:pStyle w:val="ASDANparagraph"/>
        <w:rPr>
          <w:b/>
          <w:bCs/>
        </w:rPr>
      </w:pPr>
    </w:p>
    <w:p w14:paraId="0AC49B7F" w14:textId="4C2CA85A" w:rsidR="00D17DD5" w:rsidRPr="00D17DD5" w:rsidRDefault="00D17DD5" w:rsidP="00D17DD5">
      <w:pPr>
        <w:pStyle w:val="ASDANparagraph"/>
        <w:rPr>
          <w:b/>
          <w:bCs/>
        </w:rPr>
      </w:pPr>
      <w:r w:rsidRPr="00D17DD5">
        <w:rPr>
          <w:b/>
          <w:bCs/>
        </w:rPr>
        <w:t>International purchasers</w:t>
      </w:r>
    </w:p>
    <w:p w14:paraId="44665060" w14:textId="4A2918D5" w:rsidR="00CF49DD" w:rsidRPr="00DA0235" w:rsidRDefault="00D17DD5" w:rsidP="00D17DD5">
      <w:pPr>
        <w:pStyle w:val="ASDANparagraph"/>
        <w:numPr>
          <w:ilvl w:val="0"/>
          <w:numId w:val="23"/>
        </w:numPr>
      </w:pPr>
      <w:r w:rsidRPr="00D17DD5">
        <w:rPr>
          <w:rFonts w:hint="cs"/>
        </w:rPr>
        <w:t xml:space="preserve">Non-UK </w:t>
      </w:r>
      <w:r>
        <w:t>p</w:t>
      </w:r>
      <w:r w:rsidRPr="00D17DD5">
        <w:rPr>
          <w:rFonts w:hint="cs"/>
        </w:rPr>
        <w:t>urchasers are subject to the same terms and conditions as UK Purchasers.</w:t>
      </w:r>
    </w:p>
    <w:sectPr w:rsidR="00CF49DD" w:rsidRPr="00DA0235" w:rsidSect="00A01368">
      <w:headerReference w:type="default" r:id="rId8"/>
      <w:footerReference w:type="default" r:id="rId9"/>
      <w:pgSz w:w="11900" w:h="16840"/>
      <w:pgMar w:top="1701" w:right="851" w:bottom="2268" w:left="85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6B4E" w14:textId="77777777" w:rsidR="00D17DD5" w:rsidRDefault="00D17DD5" w:rsidP="002568EC">
      <w:pPr>
        <w:spacing w:after="0" w:line="240" w:lineRule="auto"/>
      </w:pPr>
      <w:r>
        <w:separator/>
      </w:r>
    </w:p>
  </w:endnote>
  <w:endnote w:type="continuationSeparator" w:id="0">
    <w:p w14:paraId="71EC2B65" w14:textId="77777777" w:rsidR="00D17DD5" w:rsidRDefault="00D17DD5" w:rsidP="0025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4CF7" w14:textId="770BA2B5" w:rsidR="00D17DD5" w:rsidRPr="0088093A" w:rsidRDefault="005418CF" w:rsidP="00D17DD5">
    <w:pPr>
      <w:pStyle w:val="Footer"/>
      <w:jc w:val="right"/>
      <w:rPr>
        <w:rFonts w:ascii="Arial" w:hAnsi="Arial" w:cs="Arial"/>
        <w:color w:val="727271" w:themeColor="text1" w:themeTint="BF"/>
        <w:sz w:val="22"/>
        <w:szCs w:val="22"/>
      </w:rPr>
    </w:pPr>
    <w:r w:rsidRPr="0088093A">
      <w:rPr>
        <w:rFonts w:ascii="Arial" w:hAnsi="Arial" w:cs="Arial"/>
        <w:noProof/>
        <w:color w:val="727271" w:themeColor="text1" w:themeTint="BF"/>
        <w:sz w:val="22"/>
        <w:szCs w:val="22"/>
        <w:lang w:val="en-GB" w:eastAsia="en-GB"/>
      </w:rPr>
      <w:drawing>
        <wp:anchor distT="0" distB="0" distL="114300" distR="114300" simplePos="0" relativeHeight="251663360" behindDoc="1" locked="1" layoutInCell="1" allowOverlap="0" wp14:anchorId="432F9F1A" wp14:editId="14F77F2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3762000" cy="1335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ooter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56"/>
                  <a:stretch/>
                </pic:blipFill>
                <pic:spPr bwMode="auto">
                  <a:xfrm>
                    <a:off x="0" y="0"/>
                    <a:ext cx="3762000" cy="133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4B0">
      <w:rPr>
        <w:rFonts w:ascii="Arial" w:hAnsi="Arial" w:cs="Arial"/>
        <w:noProof/>
        <w:color w:val="727271" w:themeColor="text1" w:themeTint="BF"/>
        <w:sz w:val="22"/>
        <w:szCs w:val="22"/>
        <w:lang w:val="en-GB" w:eastAsia="en-GB"/>
      </w:rPr>
      <w:t>August</w:t>
    </w:r>
    <w:r w:rsidR="00D17DD5">
      <w:rPr>
        <w:rFonts w:ascii="Arial" w:hAnsi="Arial" w:cs="Arial"/>
        <w:color w:val="727271" w:themeColor="text1" w:themeTint="BF"/>
        <w:sz w:val="22"/>
        <w:szCs w:val="22"/>
      </w:rPr>
      <w:t xml:space="preserve"> 2025</w:t>
    </w:r>
  </w:p>
  <w:p w14:paraId="6E128CC0" w14:textId="311FBD5D" w:rsidR="002B0E30" w:rsidRPr="0088093A" w:rsidRDefault="002B0E30" w:rsidP="002568EC">
    <w:pPr>
      <w:pStyle w:val="Footer"/>
      <w:jc w:val="right"/>
      <w:rPr>
        <w:rFonts w:ascii="Arial" w:hAnsi="Arial" w:cs="Arial"/>
        <w:color w:val="727271" w:themeColor="text1" w:themeTint="B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DE4A" w14:textId="77777777" w:rsidR="00D17DD5" w:rsidRDefault="00D17DD5" w:rsidP="002568EC">
      <w:pPr>
        <w:spacing w:after="0" w:line="240" w:lineRule="auto"/>
      </w:pPr>
      <w:r>
        <w:separator/>
      </w:r>
    </w:p>
  </w:footnote>
  <w:footnote w:type="continuationSeparator" w:id="0">
    <w:p w14:paraId="5C26ACC2" w14:textId="77777777" w:rsidR="00D17DD5" w:rsidRDefault="00D17DD5" w:rsidP="0025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76E8" w14:textId="31BD23BC" w:rsidR="005418CF" w:rsidRPr="008F56D0" w:rsidRDefault="00D17DD5" w:rsidP="003A58D7">
    <w:pPr>
      <w:pStyle w:val="Header"/>
      <w:rPr>
        <w:rFonts w:ascii="Arial" w:hAnsi="Arial"/>
        <w:color w:val="727271" w:themeColor="text1" w:themeTint="BF"/>
        <w:sz w:val="32"/>
        <w:szCs w:val="32"/>
      </w:rPr>
    </w:pPr>
    <w:r w:rsidRPr="00D17DD5">
      <w:rPr>
        <w:rFonts w:ascii="Arial" w:hAnsi="Arial"/>
        <w:color w:val="727271" w:themeColor="text1" w:themeTint="BF"/>
        <w:sz w:val="32"/>
        <w:szCs w:val="32"/>
      </w:rPr>
      <w:t xml:space="preserve">ASDAN </w:t>
    </w:r>
    <w:r>
      <w:rPr>
        <w:rFonts w:ascii="Arial" w:hAnsi="Arial"/>
        <w:color w:val="727271" w:themeColor="text1" w:themeTint="BF"/>
        <w:sz w:val="32"/>
        <w:szCs w:val="32"/>
      </w:rPr>
      <w:t>terms and conditions for non-members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018B"/>
    <w:multiLevelType w:val="hybridMultilevel"/>
    <w:tmpl w:val="A8205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87E58"/>
    <w:multiLevelType w:val="hybridMultilevel"/>
    <w:tmpl w:val="A6186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0393B"/>
    <w:multiLevelType w:val="hybridMultilevel"/>
    <w:tmpl w:val="9CDC5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1495"/>
    <w:multiLevelType w:val="hybridMultilevel"/>
    <w:tmpl w:val="B7B0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A19B0"/>
    <w:multiLevelType w:val="hybridMultilevel"/>
    <w:tmpl w:val="757A3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BD0CA4"/>
    <w:multiLevelType w:val="hybridMultilevel"/>
    <w:tmpl w:val="3820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85C3A"/>
    <w:multiLevelType w:val="hybridMultilevel"/>
    <w:tmpl w:val="DCBCD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17C63"/>
    <w:multiLevelType w:val="hybridMultilevel"/>
    <w:tmpl w:val="73367908"/>
    <w:lvl w:ilvl="0" w:tplc="CA06C38E">
      <w:start w:val="1"/>
      <w:numFmt w:val="bullet"/>
      <w:pStyle w:val="ASDAN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E3291E"/>
    <w:multiLevelType w:val="hybridMultilevel"/>
    <w:tmpl w:val="3808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21F9"/>
    <w:multiLevelType w:val="hybridMultilevel"/>
    <w:tmpl w:val="D6481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527EDA"/>
    <w:multiLevelType w:val="hybridMultilevel"/>
    <w:tmpl w:val="997CD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33448"/>
    <w:multiLevelType w:val="hybridMultilevel"/>
    <w:tmpl w:val="B66AB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203B4"/>
    <w:multiLevelType w:val="hybridMultilevel"/>
    <w:tmpl w:val="70144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30F3B"/>
    <w:multiLevelType w:val="hybridMultilevel"/>
    <w:tmpl w:val="04325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E57E3"/>
    <w:multiLevelType w:val="hybridMultilevel"/>
    <w:tmpl w:val="DA9E9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6585"/>
    <w:multiLevelType w:val="hybridMultilevel"/>
    <w:tmpl w:val="D086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A28CD"/>
    <w:multiLevelType w:val="hybridMultilevel"/>
    <w:tmpl w:val="0B344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91AAA"/>
    <w:multiLevelType w:val="hybridMultilevel"/>
    <w:tmpl w:val="67DCF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6129F"/>
    <w:multiLevelType w:val="hybridMultilevel"/>
    <w:tmpl w:val="1FB23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5D368A"/>
    <w:multiLevelType w:val="hybridMultilevel"/>
    <w:tmpl w:val="FC30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25340"/>
    <w:multiLevelType w:val="hybridMultilevel"/>
    <w:tmpl w:val="0E38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E6A7D"/>
    <w:multiLevelType w:val="hybridMultilevel"/>
    <w:tmpl w:val="FF2A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F6EDE"/>
    <w:multiLevelType w:val="hybridMultilevel"/>
    <w:tmpl w:val="269EC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31753"/>
    <w:multiLevelType w:val="hybridMultilevel"/>
    <w:tmpl w:val="FEA22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64CFB"/>
    <w:multiLevelType w:val="hybridMultilevel"/>
    <w:tmpl w:val="007E3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01842"/>
    <w:multiLevelType w:val="hybridMultilevel"/>
    <w:tmpl w:val="86701B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C50F8C"/>
    <w:multiLevelType w:val="hybridMultilevel"/>
    <w:tmpl w:val="51745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D4245"/>
    <w:multiLevelType w:val="hybridMultilevel"/>
    <w:tmpl w:val="310A9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91449B"/>
    <w:multiLevelType w:val="hybridMultilevel"/>
    <w:tmpl w:val="5A5E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543D9"/>
    <w:multiLevelType w:val="hybridMultilevel"/>
    <w:tmpl w:val="173C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92C9B"/>
    <w:multiLevelType w:val="hybridMultilevel"/>
    <w:tmpl w:val="E5F0D5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1759093">
    <w:abstractNumId w:val="20"/>
  </w:num>
  <w:num w:numId="2" w16cid:durableId="2018186923">
    <w:abstractNumId w:val="22"/>
  </w:num>
  <w:num w:numId="3" w16cid:durableId="1020159946">
    <w:abstractNumId w:val="29"/>
  </w:num>
  <w:num w:numId="4" w16cid:durableId="1373071235">
    <w:abstractNumId w:val="8"/>
  </w:num>
  <w:num w:numId="5" w16cid:durableId="666640312">
    <w:abstractNumId w:val="5"/>
  </w:num>
  <w:num w:numId="6" w16cid:durableId="980888769">
    <w:abstractNumId w:val="15"/>
  </w:num>
  <w:num w:numId="7" w16cid:durableId="734007735">
    <w:abstractNumId w:val="28"/>
  </w:num>
  <w:num w:numId="8" w16cid:durableId="713849907">
    <w:abstractNumId w:val="21"/>
  </w:num>
  <w:num w:numId="9" w16cid:durableId="675378461">
    <w:abstractNumId w:val="23"/>
  </w:num>
  <w:num w:numId="10" w16cid:durableId="985007463">
    <w:abstractNumId w:val="14"/>
  </w:num>
  <w:num w:numId="11" w16cid:durableId="750084685">
    <w:abstractNumId w:val="3"/>
  </w:num>
  <w:num w:numId="12" w16cid:durableId="1198814623">
    <w:abstractNumId w:val="16"/>
  </w:num>
  <w:num w:numId="13" w16cid:durableId="1620718103">
    <w:abstractNumId w:val="2"/>
  </w:num>
  <w:num w:numId="14" w16cid:durableId="1804618342">
    <w:abstractNumId w:val="9"/>
  </w:num>
  <w:num w:numId="15" w16cid:durableId="1096514442">
    <w:abstractNumId w:val="25"/>
  </w:num>
  <w:num w:numId="16" w16cid:durableId="1869558820">
    <w:abstractNumId w:val="4"/>
  </w:num>
  <w:num w:numId="17" w16cid:durableId="884217654">
    <w:abstractNumId w:val="0"/>
  </w:num>
  <w:num w:numId="18" w16cid:durableId="1782915051">
    <w:abstractNumId w:val="27"/>
  </w:num>
  <w:num w:numId="19" w16cid:durableId="1150827450">
    <w:abstractNumId w:val="18"/>
  </w:num>
  <w:num w:numId="20" w16cid:durableId="345058617">
    <w:abstractNumId w:val="7"/>
  </w:num>
  <w:num w:numId="21" w16cid:durableId="60058368">
    <w:abstractNumId w:val="1"/>
  </w:num>
  <w:num w:numId="22" w16cid:durableId="1947495602">
    <w:abstractNumId w:val="30"/>
  </w:num>
  <w:num w:numId="23" w16cid:durableId="44763796">
    <w:abstractNumId w:val="26"/>
  </w:num>
  <w:num w:numId="24" w16cid:durableId="578290039">
    <w:abstractNumId w:val="24"/>
  </w:num>
  <w:num w:numId="25" w16cid:durableId="676150694">
    <w:abstractNumId w:val="12"/>
  </w:num>
  <w:num w:numId="26" w16cid:durableId="475726618">
    <w:abstractNumId w:val="11"/>
  </w:num>
  <w:num w:numId="27" w16cid:durableId="1819572963">
    <w:abstractNumId w:val="10"/>
  </w:num>
  <w:num w:numId="28" w16cid:durableId="1154220215">
    <w:abstractNumId w:val="6"/>
  </w:num>
  <w:num w:numId="29" w16cid:durableId="87578294">
    <w:abstractNumId w:val="19"/>
  </w:num>
  <w:num w:numId="30" w16cid:durableId="876769989">
    <w:abstractNumId w:val="17"/>
  </w:num>
  <w:num w:numId="31" w16cid:durableId="11860921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DD5"/>
    <w:rsid w:val="00027388"/>
    <w:rsid w:val="000370BF"/>
    <w:rsid w:val="0004422F"/>
    <w:rsid w:val="000C2BA4"/>
    <w:rsid w:val="00110783"/>
    <w:rsid w:val="00133F3F"/>
    <w:rsid w:val="00145FFF"/>
    <w:rsid w:val="00153102"/>
    <w:rsid w:val="00173416"/>
    <w:rsid w:val="0019625C"/>
    <w:rsid w:val="00210BA1"/>
    <w:rsid w:val="00215348"/>
    <w:rsid w:val="00224C20"/>
    <w:rsid w:val="00233CDA"/>
    <w:rsid w:val="002549E3"/>
    <w:rsid w:val="002568EC"/>
    <w:rsid w:val="002605A8"/>
    <w:rsid w:val="00275F0F"/>
    <w:rsid w:val="0029709A"/>
    <w:rsid w:val="002B0E30"/>
    <w:rsid w:val="002F016C"/>
    <w:rsid w:val="003078E7"/>
    <w:rsid w:val="003A58D7"/>
    <w:rsid w:val="003D0A94"/>
    <w:rsid w:val="003D267D"/>
    <w:rsid w:val="00433440"/>
    <w:rsid w:val="0046418F"/>
    <w:rsid w:val="004700F5"/>
    <w:rsid w:val="00496731"/>
    <w:rsid w:val="004B480F"/>
    <w:rsid w:val="004C35DC"/>
    <w:rsid w:val="00532DBC"/>
    <w:rsid w:val="005418CF"/>
    <w:rsid w:val="005D28F6"/>
    <w:rsid w:val="005E479A"/>
    <w:rsid w:val="005F7F2B"/>
    <w:rsid w:val="00613CB7"/>
    <w:rsid w:val="0068447B"/>
    <w:rsid w:val="00686F74"/>
    <w:rsid w:val="006B4183"/>
    <w:rsid w:val="006C0DB4"/>
    <w:rsid w:val="006F7D0B"/>
    <w:rsid w:val="006F7E4E"/>
    <w:rsid w:val="00747BDE"/>
    <w:rsid w:val="007C6FB9"/>
    <w:rsid w:val="007D1672"/>
    <w:rsid w:val="00830086"/>
    <w:rsid w:val="0088093A"/>
    <w:rsid w:val="008B3B27"/>
    <w:rsid w:val="008F2FD0"/>
    <w:rsid w:val="008F50EC"/>
    <w:rsid w:val="008F56D0"/>
    <w:rsid w:val="00940D1B"/>
    <w:rsid w:val="00972599"/>
    <w:rsid w:val="00A01368"/>
    <w:rsid w:val="00AB6A7D"/>
    <w:rsid w:val="00AE3B73"/>
    <w:rsid w:val="00AF7C56"/>
    <w:rsid w:val="00B05113"/>
    <w:rsid w:val="00B156DE"/>
    <w:rsid w:val="00B31DE9"/>
    <w:rsid w:val="00BB6C63"/>
    <w:rsid w:val="00BE6880"/>
    <w:rsid w:val="00BF0695"/>
    <w:rsid w:val="00BF08A4"/>
    <w:rsid w:val="00C1107E"/>
    <w:rsid w:val="00CB613C"/>
    <w:rsid w:val="00CD623C"/>
    <w:rsid w:val="00CE4276"/>
    <w:rsid w:val="00CF49DD"/>
    <w:rsid w:val="00D17DD5"/>
    <w:rsid w:val="00D73EEC"/>
    <w:rsid w:val="00D77805"/>
    <w:rsid w:val="00D940B9"/>
    <w:rsid w:val="00DA0235"/>
    <w:rsid w:val="00DC6F32"/>
    <w:rsid w:val="00DF04B0"/>
    <w:rsid w:val="00DF5124"/>
    <w:rsid w:val="00DF6DAD"/>
    <w:rsid w:val="00E24724"/>
    <w:rsid w:val="00E325ED"/>
    <w:rsid w:val="00ED0251"/>
    <w:rsid w:val="00EF2F86"/>
    <w:rsid w:val="00F46522"/>
    <w:rsid w:val="00F77377"/>
    <w:rsid w:val="00F83F7A"/>
    <w:rsid w:val="00FB2EFE"/>
    <w:rsid w:val="00FD4552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435DC9"/>
  <w14:defaultImageDpi w14:val="330"/>
  <w15:chartTrackingRefBased/>
  <w15:docId w15:val="{355BDDC8-B7DE-4663-AB52-DCB952CF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568EC"/>
    <w:pPr>
      <w:spacing w:after="200" w:line="276" w:lineRule="auto"/>
    </w:pPr>
    <w:rPr>
      <w:rFonts w:ascii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D17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F146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17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F146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D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6F146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D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6F146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D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6F146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D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858583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D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858583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D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5F5F5E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D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F5F5E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rsid w:val="00BB6C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DE9"/>
    <w:rPr>
      <w:color w:val="1D71B8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5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A58D7"/>
  </w:style>
  <w:style w:type="character" w:styleId="CommentReference">
    <w:name w:val="annotation reference"/>
    <w:basedOn w:val="DefaultParagraphFont"/>
    <w:uiPriority w:val="99"/>
    <w:semiHidden/>
    <w:unhideWhenUsed/>
    <w:rsid w:val="003A5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8D7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8D7"/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6D0"/>
    <w:rPr>
      <w:rFonts w:ascii="Calibri" w:eastAsia="Calibri" w:hAnsi="Calibri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6D0"/>
    <w:rPr>
      <w:rFonts w:ascii="Calibri" w:eastAsia="Calibri" w:hAnsi="Calibri" w:cs="Times New Roman"/>
      <w:b/>
      <w:bCs/>
      <w:sz w:val="20"/>
      <w:szCs w:val="20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F2B"/>
    <w:rPr>
      <w:color w:val="605E5C"/>
      <w:shd w:val="clear" w:color="auto" w:fill="E1DFDD"/>
    </w:rPr>
  </w:style>
  <w:style w:type="paragraph" w:customStyle="1" w:styleId="ASDANparagraph">
    <w:name w:val="ASDAN paragraph"/>
    <w:basedOn w:val="Normal"/>
    <w:link w:val="ASDANparagraphChar"/>
    <w:qFormat/>
    <w:rsid w:val="002B0E30"/>
    <w:pPr>
      <w:spacing w:after="120"/>
    </w:pPr>
    <w:rPr>
      <w:rFonts w:ascii="Arial" w:hAnsi="Arial" w:cs="Arial"/>
      <w:sz w:val="24"/>
      <w:szCs w:val="24"/>
      <w:lang w:val="en-US"/>
    </w:rPr>
  </w:style>
  <w:style w:type="paragraph" w:customStyle="1" w:styleId="ASDANbullets">
    <w:name w:val="ASDAN bullets"/>
    <w:basedOn w:val="ListParagraph"/>
    <w:link w:val="ASDANbulletsChar"/>
    <w:qFormat/>
    <w:rsid w:val="002B0E30"/>
    <w:pPr>
      <w:numPr>
        <w:numId w:val="20"/>
      </w:numPr>
      <w:spacing w:after="120"/>
      <w:ind w:left="357" w:hanging="357"/>
    </w:pPr>
    <w:rPr>
      <w:rFonts w:ascii="Arial" w:hAnsi="Arial" w:cs="Arial"/>
      <w:sz w:val="24"/>
      <w:szCs w:val="24"/>
      <w:lang w:val="en-US"/>
    </w:rPr>
  </w:style>
  <w:style w:type="character" w:customStyle="1" w:styleId="ASDANparagraphChar">
    <w:name w:val="ASDAN paragraph Char"/>
    <w:basedOn w:val="DefaultParagraphFont"/>
    <w:link w:val="ASDANparagraph"/>
    <w:rsid w:val="002B0E30"/>
    <w:rPr>
      <w:rFonts w:ascii="Arial" w:eastAsia="Calibri" w:hAnsi="Arial" w:cs="Arial"/>
    </w:rPr>
  </w:style>
  <w:style w:type="paragraph" w:customStyle="1" w:styleId="ASDANsmallheadings">
    <w:name w:val="ASDAN small headings"/>
    <w:basedOn w:val="Normal"/>
    <w:link w:val="ASDANsmallheadingsChar"/>
    <w:qFormat/>
    <w:rsid w:val="002B0E30"/>
    <w:pPr>
      <w:spacing w:before="40" w:after="120"/>
    </w:pPr>
    <w:rPr>
      <w:rFonts w:ascii="Arial" w:hAnsi="Arial" w:cs="Arial"/>
      <w:b/>
      <w:sz w:val="28"/>
      <w:szCs w:val="28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0E30"/>
    <w:rPr>
      <w:rFonts w:ascii="Calibri" w:eastAsia="Calibri" w:hAnsi="Calibri" w:cs="Times New Roman"/>
      <w:sz w:val="22"/>
      <w:szCs w:val="22"/>
      <w:lang w:val="en-GB"/>
    </w:rPr>
  </w:style>
  <w:style w:type="character" w:customStyle="1" w:styleId="ASDANbulletsChar">
    <w:name w:val="ASDAN bullets Char"/>
    <w:basedOn w:val="ListParagraphChar"/>
    <w:link w:val="ASDANbullets"/>
    <w:rsid w:val="002B0E30"/>
    <w:rPr>
      <w:rFonts w:ascii="Arial" w:eastAsia="Calibri" w:hAnsi="Arial" w:cs="Arial"/>
      <w:sz w:val="22"/>
      <w:szCs w:val="22"/>
      <w:lang w:val="en-GB"/>
    </w:rPr>
  </w:style>
  <w:style w:type="paragraph" w:customStyle="1" w:styleId="ASDANbigheadings">
    <w:name w:val="ASDAN big headings"/>
    <w:basedOn w:val="Normal"/>
    <w:link w:val="ASDANbigheadingsChar"/>
    <w:qFormat/>
    <w:rsid w:val="002B0E30"/>
    <w:pPr>
      <w:spacing w:before="200" w:after="120"/>
    </w:pPr>
    <w:rPr>
      <w:rFonts w:ascii="Arial" w:hAnsi="Arial" w:cs="Arial"/>
      <w:sz w:val="32"/>
      <w:szCs w:val="32"/>
      <w:lang w:val="en-US"/>
    </w:rPr>
  </w:style>
  <w:style w:type="character" w:customStyle="1" w:styleId="ASDANsmallheadingsChar">
    <w:name w:val="ASDAN small headings Char"/>
    <w:basedOn w:val="DefaultParagraphFont"/>
    <w:link w:val="ASDANsmallheadings"/>
    <w:rsid w:val="002B0E30"/>
    <w:rPr>
      <w:rFonts w:ascii="Arial" w:eastAsia="Calibri" w:hAnsi="Arial" w:cs="Arial"/>
      <w:b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1368"/>
    <w:pPr>
      <w:spacing w:after="0" w:line="240" w:lineRule="auto"/>
    </w:pPr>
    <w:rPr>
      <w:sz w:val="20"/>
      <w:szCs w:val="20"/>
    </w:rPr>
  </w:style>
  <w:style w:type="character" w:customStyle="1" w:styleId="ASDANbigheadingsChar">
    <w:name w:val="ASDAN big headings Char"/>
    <w:basedOn w:val="DefaultParagraphFont"/>
    <w:link w:val="ASDANbigheadings"/>
    <w:rsid w:val="002B0E30"/>
    <w:rPr>
      <w:rFonts w:ascii="Arial" w:eastAsia="Calibri" w:hAnsi="Arial" w:cs="Arial"/>
      <w:sz w:val="32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368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01368"/>
    <w:rPr>
      <w:vertAlign w:val="superscript"/>
    </w:rPr>
  </w:style>
  <w:style w:type="paragraph" w:customStyle="1" w:styleId="ASDANfootnotesandcaptions">
    <w:name w:val="ASDAN footnotes and captions"/>
    <w:basedOn w:val="FootnoteText"/>
    <w:link w:val="ASDANfootnotesandcaptionsChar"/>
    <w:qFormat/>
    <w:rsid w:val="00A01368"/>
    <w:rPr>
      <w:rFonts w:ascii="Arial" w:hAnsi="Arial" w:cs="Arial"/>
      <w:sz w:val="22"/>
      <w:szCs w:val="22"/>
    </w:rPr>
  </w:style>
  <w:style w:type="character" w:customStyle="1" w:styleId="ASDANfootnotesandcaptionsChar">
    <w:name w:val="ASDAN footnotes and captions Char"/>
    <w:basedOn w:val="FootnoteTextChar"/>
    <w:link w:val="ASDANfootnotesandcaptions"/>
    <w:rsid w:val="00A01368"/>
    <w:rPr>
      <w:rFonts w:ascii="Arial" w:eastAsia="Calibri" w:hAnsi="Arial" w:cs="Arial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17DD5"/>
    <w:rPr>
      <w:rFonts w:asciiTheme="majorHAnsi" w:eastAsiaTheme="majorEastAsia" w:hAnsiTheme="majorHAnsi" w:cstheme="majorBidi"/>
      <w:color w:val="6F1460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DD5"/>
    <w:rPr>
      <w:rFonts w:asciiTheme="majorHAnsi" w:eastAsiaTheme="majorEastAsia" w:hAnsiTheme="majorHAnsi" w:cstheme="majorBidi"/>
      <w:color w:val="6F1460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DD5"/>
    <w:rPr>
      <w:rFonts w:eastAsiaTheme="majorEastAsia" w:cstheme="majorBidi"/>
      <w:color w:val="6F1460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DD5"/>
    <w:rPr>
      <w:rFonts w:eastAsiaTheme="majorEastAsia" w:cstheme="majorBidi"/>
      <w:i/>
      <w:iCs/>
      <w:color w:val="6F1460" w:themeColor="accent1" w:themeShade="BF"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DD5"/>
    <w:rPr>
      <w:rFonts w:eastAsiaTheme="majorEastAsia" w:cstheme="majorBidi"/>
      <w:color w:val="6F1460" w:themeColor="accent1" w:themeShade="BF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DD5"/>
    <w:rPr>
      <w:rFonts w:eastAsiaTheme="majorEastAsia" w:cstheme="majorBidi"/>
      <w:i/>
      <w:iCs/>
      <w:color w:val="858583" w:themeColor="text1" w:themeTint="A6"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DD5"/>
    <w:rPr>
      <w:rFonts w:eastAsiaTheme="majorEastAsia" w:cstheme="majorBidi"/>
      <w:color w:val="858583" w:themeColor="text1" w:themeTint="A6"/>
      <w:sz w:val="22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DD5"/>
    <w:rPr>
      <w:rFonts w:eastAsiaTheme="majorEastAsia" w:cstheme="majorBidi"/>
      <w:i/>
      <w:iCs/>
      <w:color w:val="5F5F5E" w:themeColor="text1" w:themeTint="D8"/>
      <w:sz w:val="22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DD5"/>
    <w:rPr>
      <w:rFonts w:eastAsiaTheme="majorEastAsia" w:cstheme="majorBidi"/>
      <w:color w:val="5F5F5E" w:themeColor="text1" w:themeTint="D8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D17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DD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D17D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85858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DD5"/>
    <w:rPr>
      <w:rFonts w:eastAsiaTheme="majorEastAsia" w:cstheme="majorBidi"/>
      <w:color w:val="858583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D17DD5"/>
    <w:pPr>
      <w:spacing w:before="160" w:after="160"/>
      <w:jc w:val="center"/>
    </w:pPr>
    <w:rPr>
      <w:i/>
      <w:iCs/>
      <w:color w:val="727271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DD5"/>
    <w:rPr>
      <w:rFonts w:ascii="Calibri" w:hAnsi="Calibri" w:cs="Times New Roman"/>
      <w:i/>
      <w:iCs/>
      <w:color w:val="727271" w:themeColor="text1" w:themeTint="BF"/>
      <w:sz w:val="22"/>
      <w:szCs w:val="22"/>
      <w:lang w:val="en-GB"/>
    </w:rPr>
  </w:style>
  <w:style w:type="character" w:styleId="IntenseEmphasis">
    <w:name w:val="Intense Emphasis"/>
    <w:basedOn w:val="DefaultParagraphFont"/>
    <w:uiPriority w:val="21"/>
    <w:rsid w:val="00D17DD5"/>
    <w:rPr>
      <w:i/>
      <w:iCs/>
      <w:color w:val="6F146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17DD5"/>
    <w:pPr>
      <w:pBdr>
        <w:top w:val="single" w:sz="4" w:space="10" w:color="6F1460" w:themeColor="accent1" w:themeShade="BF"/>
        <w:bottom w:val="single" w:sz="4" w:space="10" w:color="6F1460" w:themeColor="accent1" w:themeShade="BF"/>
      </w:pBdr>
      <w:spacing w:before="360" w:after="360"/>
      <w:ind w:left="864" w:right="864"/>
      <w:jc w:val="center"/>
    </w:pPr>
    <w:rPr>
      <w:i/>
      <w:iCs/>
      <w:color w:val="6F146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DD5"/>
    <w:rPr>
      <w:rFonts w:ascii="Calibri" w:hAnsi="Calibri" w:cs="Times New Roman"/>
      <w:i/>
      <w:iCs/>
      <w:color w:val="6F1460" w:themeColor="accent1" w:themeShade="BF"/>
      <w:sz w:val="22"/>
      <w:szCs w:val="22"/>
      <w:lang w:val="en-GB"/>
    </w:rPr>
  </w:style>
  <w:style w:type="character" w:styleId="IntenseReference">
    <w:name w:val="Intense Reference"/>
    <w:basedOn w:val="DefaultParagraphFont"/>
    <w:uiPriority w:val="32"/>
    <w:rsid w:val="00D17DD5"/>
    <w:rPr>
      <w:b/>
      <w:bCs/>
      <w:smallCaps/>
      <w:color w:val="6F146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owerPointMaster">
  <a:themeElements>
    <a:clrScheme name="ASDAN brand">
      <a:dk1>
        <a:srgbClr val="434342"/>
      </a:dk1>
      <a:lt1>
        <a:sysClr val="window" lastClr="FFFFFF"/>
      </a:lt1>
      <a:dk2>
        <a:srgbClr val="6B6A6B"/>
      </a:dk2>
      <a:lt2>
        <a:srgbClr val="A9A9A9"/>
      </a:lt2>
      <a:accent1>
        <a:srgbClr val="951B81"/>
      </a:accent1>
      <a:accent2>
        <a:srgbClr val="E3175C"/>
      </a:accent2>
      <a:accent3>
        <a:srgbClr val="EB8719"/>
      </a:accent3>
      <a:accent4>
        <a:srgbClr val="008D36"/>
      </a:accent4>
      <a:accent5>
        <a:srgbClr val="009588"/>
      </a:accent5>
      <a:accent6>
        <a:srgbClr val="1D74B8"/>
      </a:accent6>
      <a:hlink>
        <a:srgbClr val="1D71B8"/>
      </a:hlink>
      <a:folHlink>
        <a:srgbClr val="29235C"/>
      </a:folHlink>
    </a:clrScheme>
    <a:fontScheme name="ASDAN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3F2DF4-24A6-4A47-8A33-CF245CED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Mackie</dc:creator>
  <cp:keywords/>
  <dc:description/>
  <cp:lastModifiedBy>Colette Mackie</cp:lastModifiedBy>
  <cp:revision>2</cp:revision>
  <dcterms:created xsi:type="dcterms:W3CDTF">2025-08-05T09:04:00Z</dcterms:created>
  <dcterms:modified xsi:type="dcterms:W3CDTF">2025-08-06T12:41:00Z</dcterms:modified>
</cp:coreProperties>
</file>