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2205" w14:textId="44E95AA1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ASDAN terms and conditions of supply</w:t>
      </w:r>
    </w:p>
    <w:p w14:paraId="7037015D" w14:textId="7D454492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Website and policy statement</w:t>
      </w:r>
    </w:p>
    <w:p w14:paraId="093C4E0A" w14:textId="77777777" w:rsidR="00335155" w:rsidRDefault="00335155" w:rsidP="00335155">
      <w:pPr>
        <w:pStyle w:val="ASDANparagraph"/>
      </w:pPr>
      <w:r>
        <w:t>By accessing or using ASDAN’s website or services, you agree to comply with and be bound by these Terms and Conditions, alongside ASDAN’s Privacy Policy.</w:t>
      </w:r>
    </w:p>
    <w:p w14:paraId="698A95D8" w14:textId="77777777" w:rsidR="00335155" w:rsidRDefault="00335155" w:rsidP="00335155">
      <w:pPr>
        <w:pStyle w:val="ASDANparagraph"/>
      </w:pPr>
      <w:r>
        <w:t>“ASDAN” refers to ASDAN Ltd, Wainbrook House, Hudds Vale Road, St. George, Bristol BS5 7HY.</w:t>
      </w:r>
    </w:p>
    <w:p w14:paraId="633EC7D3" w14:textId="77777777" w:rsidR="00335155" w:rsidRDefault="00335155" w:rsidP="00335155">
      <w:pPr>
        <w:pStyle w:val="ASDANparagraph"/>
      </w:pPr>
    </w:p>
    <w:p w14:paraId="04A372DD" w14:textId="608748C8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Website use</w:t>
      </w:r>
    </w:p>
    <w:p w14:paraId="0D7A3146" w14:textId="57247493" w:rsidR="00335155" w:rsidRDefault="00335155" w:rsidP="00335155">
      <w:pPr>
        <w:pStyle w:val="ASDANparagraph"/>
        <w:numPr>
          <w:ilvl w:val="0"/>
          <w:numId w:val="23"/>
        </w:numPr>
      </w:pPr>
      <w:r>
        <w:t>By using ASDAN’s website, you agree to these Terms and our Privacy Policy.</w:t>
      </w:r>
    </w:p>
    <w:p w14:paraId="23C10B9F" w14:textId="4BFCE444" w:rsidR="00335155" w:rsidRDefault="00335155" w:rsidP="00335155">
      <w:pPr>
        <w:pStyle w:val="ASDANparagraph"/>
        <w:numPr>
          <w:ilvl w:val="0"/>
          <w:numId w:val="23"/>
        </w:numPr>
      </w:pPr>
      <w:r>
        <w:t>Website content is for general information and may change without notice.</w:t>
      </w:r>
    </w:p>
    <w:p w14:paraId="3FE78749" w14:textId="38C939D5" w:rsidR="00335155" w:rsidRDefault="00335155" w:rsidP="00335155">
      <w:pPr>
        <w:pStyle w:val="ASDANparagraph"/>
        <w:numPr>
          <w:ilvl w:val="0"/>
          <w:numId w:val="23"/>
        </w:numPr>
      </w:pPr>
      <w:r>
        <w:t>ASDAN does not guarantee accuracy or suitability of website content; use is at your own risk.</w:t>
      </w:r>
    </w:p>
    <w:p w14:paraId="303DE206" w14:textId="053FCF24" w:rsidR="00335155" w:rsidRDefault="00335155" w:rsidP="00335155">
      <w:pPr>
        <w:pStyle w:val="ASDANparagraph"/>
        <w:numPr>
          <w:ilvl w:val="0"/>
          <w:numId w:val="23"/>
        </w:numPr>
      </w:pPr>
      <w:r>
        <w:t>All website material is owned or licensed by ASDAN and protected by copyright.</w:t>
      </w:r>
    </w:p>
    <w:p w14:paraId="5114C63D" w14:textId="49E412C5" w:rsidR="00335155" w:rsidRDefault="00335155" w:rsidP="00335155">
      <w:pPr>
        <w:pStyle w:val="ASDANparagraph"/>
        <w:numPr>
          <w:ilvl w:val="0"/>
          <w:numId w:val="23"/>
        </w:numPr>
      </w:pPr>
      <w:r>
        <w:t>Unauthorised use may result in legal action.</w:t>
      </w:r>
    </w:p>
    <w:p w14:paraId="2505E5A2" w14:textId="17084BAE" w:rsidR="00335155" w:rsidRDefault="00335155" w:rsidP="00335155">
      <w:pPr>
        <w:pStyle w:val="ASDANparagraph"/>
        <w:numPr>
          <w:ilvl w:val="0"/>
          <w:numId w:val="23"/>
        </w:numPr>
      </w:pPr>
      <w:r>
        <w:t>Links to external websites are for convenience only; ASDAN is not responsible for their content.</w:t>
      </w:r>
    </w:p>
    <w:p w14:paraId="6E4738A9" w14:textId="657CEBD9" w:rsidR="00335155" w:rsidRDefault="00335155" w:rsidP="00335155">
      <w:pPr>
        <w:pStyle w:val="ASDANparagraph"/>
        <w:numPr>
          <w:ilvl w:val="0"/>
          <w:numId w:val="23"/>
        </w:numPr>
      </w:pPr>
      <w:r>
        <w:t>Website use and disputes are governed by English law and courts of England and Wales.</w:t>
      </w:r>
    </w:p>
    <w:p w14:paraId="3D55B02B" w14:textId="74A1FBB9" w:rsidR="00335155" w:rsidRDefault="00335155" w:rsidP="00335155">
      <w:pPr>
        <w:pStyle w:val="ASDANparagraph"/>
        <w:numPr>
          <w:ilvl w:val="0"/>
          <w:numId w:val="23"/>
        </w:numPr>
      </w:pPr>
      <w:r>
        <w:t>Cookies are used for functionality and analytics.</w:t>
      </w:r>
    </w:p>
    <w:p w14:paraId="5712337B" w14:textId="77777777" w:rsidR="00335155" w:rsidRDefault="00335155" w:rsidP="00335155">
      <w:pPr>
        <w:pStyle w:val="ASDANparagraph"/>
      </w:pPr>
    </w:p>
    <w:p w14:paraId="1B54365E" w14:textId="760D831B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Membership and agreement</w:t>
      </w:r>
    </w:p>
    <w:p w14:paraId="08B67856" w14:textId="26765A23" w:rsidR="00335155" w:rsidRDefault="00335155" w:rsidP="00335155">
      <w:pPr>
        <w:pStyle w:val="ASDANparagraph"/>
        <w:numPr>
          <w:ilvl w:val="0"/>
          <w:numId w:val="24"/>
        </w:numPr>
      </w:pPr>
      <w:r>
        <w:t>The agreement starts when ASDAN confirms membership via email.</w:t>
      </w:r>
    </w:p>
    <w:p w14:paraId="5B3339F5" w14:textId="635631F5" w:rsidR="00335155" w:rsidRDefault="00335155" w:rsidP="00335155">
      <w:pPr>
        <w:pStyle w:val="ASDANparagraph"/>
        <w:numPr>
          <w:ilvl w:val="0"/>
          <w:numId w:val="24"/>
        </w:numPr>
      </w:pPr>
      <w:r>
        <w:t>Applicants are temporary members until approved.</w:t>
      </w:r>
    </w:p>
    <w:p w14:paraId="5743471E" w14:textId="0B72CA96" w:rsidR="00335155" w:rsidRDefault="00335155" w:rsidP="00335155">
      <w:pPr>
        <w:pStyle w:val="ASDANparagraph"/>
        <w:numPr>
          <w:ilvl w:val="0"/>
          <w:numId w:val="24"/>
        </w:numPr>
      </w:pPr>
      <w:r>
        <w:t>Membership auto-renews annually unless terminated with 30 days’ written notice.</w:t>
      </w:r>
    </w:p>
    <w:p w14:paraId="4B0C1EF1" w14:textId="23C1598F" w:rsidR="00335155" w:rsidRDefault="00335155" w:rsidP="00335155">
      <w:pPr>
        <w:pStyle w:val="ASDANparagraph"/>
        <w:numPr>
          <w:ilvl w:val="0"/>
          <w:numId w:val="24"/>
        </w:numPr>
      </w:pPr>
      <w:r>
        <w:t>Cancellation within 30 days of invoice allows for a full refund; after that, the fee remains payable.</w:t>
      </w:r>
    </w:p>
    <w:p w14:paraId="2B0BE39C" w14:textId="420F2CB3" w:rsidR="00335155" w:rsidRDefault="00335155" w:rsidP="00335155">
      <w:pPr>
        <w:pStyle w:val="ASDANparagraph"/>
        <w:numPr>
          <w:ilvl w:val="0"/>
          <w:numId w:val="24"/>
        </w:numPr>
      </w:pPr>
      <w:r>
        <w:t>Members must provide required policies and documentation when requested.</w:t>
      </w:r>
    </w:p>
    <w:p w14:paraId="2C656F3A" w14:textId="77777777" w:rsidR="00335155" w:rsidRDefault="00335155" w:rsidP="00335155">
      <w:pPr>
        <w:pStyle w:val="ASDANparagraph"/>
      </w:pPr>
    </w:p>
    <w:p w14:paraId="0227AC45" w14:textId="343883C4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Membership types and approvals</w:t>
      </w:r>
    </w:p>
    <w:p w14:paraId="47088950" w14:textId="2591A497" w:rsidR="00335155" w:rsidRDefault="00335155" w:rsidP="00335155">
      <w:pPr>
        <w:pStyle w:val="ASDANparagraph"/>
        <w:numPr>
          <w:ilvl w:val="0"/>
          <w:numId w:val="25"/>
        </w:numPr>
      </w:pPr>
      <w:r>
        <w:t>Qualifications membership requires compliance with the Qualifications Center Agreement, annual approval, and participation in mandatory training.</w:t>
      </w:r>
    </w:p>
    <w:p w14:paraId="2D88AF63" w14:textId="1B416399" w:rsidR="00335155" w:rsidRDefault="00335155" w:rsidP="00335155">
      <w:pPr>
        <w:pStyle w:val="ASDANparagraph"/>
        <w:numPr>
          <w:ilvl w:val="0"/>
          <w:numId w:val="25"/>
        </w:numPr>
      </w:pPr>
      <w:r>
        <w:lastRenderedPageBreak/>
        <w:t>Programmes/Programmes Plus Membership requires policies and resources to deliver ASDAN courses. Failure to meet requirements may result in withdrawal or downgrade.</w:t>
      </w:r>
    </w:p>
    <w:p w14:paraId="6FBD33F7" w14:textId="4E259D26" w:rsidR="00335155" w:rsidRDefault="00335155" w:rsidP="00335155">
      <w:pPr>
        <w:pStyle w:val="ASDANparagraph"/>
        <w:numPr>
          <w:ilvl w:val="0"/>
          <w:numId w:val="25"/>
        </w:numPr>
      </w:pPr>
      <w:r>
        <w:t>Customised Accreditation requires policy submission and ASDAN approval for endorsement.</w:t>
      </w:r>
    </w:p>
    <w:p w14:paraId="7DFD437A" w14:textId="77777777" w:rsidR="00335155" w:rsidRDefault="00335155" w:rsidP="00335155">
      <w:pPr>
        <w:pStyle w:val="ASDANparagraph"/>
      </w:pPr>
    </w:p>
    <w:p w14:paraId="487F841D" w14:textId="7E0FD2DB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Fees and payments</w:t>
      </w:r>
    </w:p>
    <w:p w14:paraId="5EFC3043" w14:textId="1C50F05A" w:rsidR="00335155" w:rsidRDefault="00335155" w:rsidP="00335155">
      <w:pPr>
        <w:pStyle w:val="ASDANparagraph"/>
        <w:numPr>
          <w:ilvl w:val="0"/>
          <w:numId w:val="26"/>
        </w:numPr>
      </w:pPr>
      <w:r>
        <w:t>Membership fees are annual, payable in advance, and include VAT where applicable.</w:t>
      </w:r>
    </w:p>
    <w:p w14:paraId="0BD4717B" w14:textId="63E3649C" w:rsidR="00335155" w:rsidRDefault="00335155" w:rsidP="00335155">
      <w:pPr>
        <w:pStyle w:val="ASDANparagraph"/>
        <w:numPr>
          <w:ilvl w:val="0"/>
          <w:numId w:val="26"/>
        </w:numPr>
      </w:pPr>
      <w:r>
        <w:t>Payment due within 30 days of invoice; late payment may result in interest charges, suspension of services, and legal recovery.</w:t>
      </w:r>
    </w:p>
    <w:p w14:paraId="701227D0" w14:textId="46DAB45E" w:rsidR="00335155" w:rsidRDefault="00335155" w:rsidP="00335155">
      <w:pPr>
        <w:pStyle w:val="ASDANparagraph"/>
        <w:numPr>
          <w:ilvl w:val="0"/>
          <w:numId w:val="26"/>
        </w:numPr>
      </w:pPr>
      <w:r>
        <w:t>Payments can be made via BACS or cheque, quoting registration and invoice numbers.</w:t>
      </w:r>
    </w:p>
    <w:p w14:paraId="038E563F" w14:textId="585E7F17" w:rsidR="00335155" w:rsidRDefault="00335155" w:rsidP="00335155">
      <w:pPr>
        <w:pStyle w:val="ASDANparagraph"/>
        <w:numPr>
          <w:ilvl w:val="0"/>
          <w:numId w:val="26"/>
        </w:numPr>
      </w:pPr>
      <w:r>
        <w:t>Foreign currency invoices incur an FX fee.</w:t>
      </w:r>
    </w:p>
    <w:p w14:paraId="068F4FC9" w14:textId="42BDFD04" w:rsidR="00335155" w:rsidRDefault="00335155" w:rsidP="00335155">
      <w:pPr>
        <w:pStyle w:val="ASDANparagraph"/>
        <w:numPr>
          <w:ilvl w:val="0"/>
          <w:numId w:val="26"/>
        </w:numPr>
      </w:pPr>
      <w:r>
        <w:t>ASDAN will provide 30 days’ notice of any price increases.</w:t>
      </w:r>
    </w:p>
    <w:p w14:paraId="42F47B88" w14:textId="23761544" w:rsidR="00335155" w:rsidRDefault="00335155" w:rsidP="00335155">
      <w:pPr>
        <w:pStyle w:val="ASDANparagraph"/>
        <w:numPr>
          <w:ilvl w:val="0"/>
          <w:numId w:val="26"/>
        </w:numPr>
      </w:pPr>
      <w:r>
        <w:t>Prepayments for events/approvals are refunded if cancelled seven working days prior; later cancellations incur full charges.</w:t>
      </w:r>
    </w:p>
    <w:p w14:paraId="3833DC02" w14:textId="0CC99577" w:rsidR="00335155" w:rsidRDefault="00335155" w:rsidP="00335155">
      <w:pPr>
        <w:pStyle w:val="ASDANparagraph"/>
        <w:numPr>
          <w:ilvl w:val="0"/>
          <w:numId w:val="26"/>
        </w:numPr>
      </w:pPr>
      <w:r>
        <w:t>Credit notes must be used within 12 months.</w:t>
      </w:r>
    </w:p>
    <w:p w14:paraId="71CD6531" w14:textId="77777777" w:rsidR="00335155" w:rsidRDefault="00335155" w:rsidP="00335155">
      <w:pPr>
        <w:pStyle w:val="ASDANparagraph"/>
      </w:pPr>
    </w:p>
    <w:p w14:paraId="388C1D22" w14:textId="4FC937F0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Intellectual property</w:t>
      </w:r>
    </w:p>
    <w:p w14:paraId="7246641C" w14:textId="75AF027D" w:rsidR="00335155" w:rsidRDefault="00335155" w:rsidP="00335155">
      <w:pPr>
        <w:pStyle w:val="ASDANparagraph"/>
        <w:numPr>
          <w:ilvl w:val="0"/>
          <w:numId w:val="27"/>
        </w:numPr>
      </w:pPr>
      <w:r>
        <w:t>All copyrights, trademarks, and IP in ASDAN materials and websites belong to ASDAN or licensors.</w:t>
      </w:r>
    </w:p>
    <w:p w14:paraId="117B804F" w14:textId="438C6294" w:rsidR="00335155" w:rsidRDefault="00335155" w:rsidP="00335155">
      <w:pPr>
        <w:pStyle w:val="ASDANparagraph"/>
        <w:numPr>
          <w:ilvl w:val="0"/>
          <w:numId w:val="27"/>
        </w:numPr>
      </w:pPr>
      <w:r>
        <w:t>Materials may only be used for personal, non-commercial purposes unless written permission is obtained.</w:t>
      </w:r>
    </w:p>
    <w:p w14:paraId="49F60D2C" w14:textId="2E6B1508" w:rsidR="00335155" w:rsidRDefault="00335155" w:rsidP="00335155">
      <w:pPr>
        <w:pStyle w:val="ASDANparagraph"/>
        <w:numPr>
          <w:ilvl w:val="0"/>
          <w:numId w:val="27"/>
        </w:numPr>
      </w:pPr>
      <w:r>
        <w:t>Members can use the ASDAN Registered center logo during active membership, following guidelines.</w:t>
      </w:r>
    </w:p>
    <w:p w14:paraId="7F642CD8" w14:textId="2D2DD1C3" w:rsidR="00335155" w:rsidRDefault="00335155" w:rsidP="00335155">
      <w:pPr>
        <w:pStyle w:val="ASDANparagraph"/>
        <w:numPr>
          <w:ilvl w:val="0"/>
          <w:numId w:val="27"/>
        </w:numPr>
      </w:pPr>
      <w:r>
        <w:t>References to ASDAN must not be misleading or inaccurate.</w:t>
      </w:r>
    </w:p>
    <w:p w14:paraId="06AE200E" w14:textId="77777777" w:rsidR="00335155" w:rsidRDefault="00335155" w:rsidP="00335155">
      <w:pPr>
        <w:pStyle w:val="ASDANparagraph"/>
        <w:rPr>
          <w:b/>
          <w:bCs/>
        </w:rPr>
      </w:pPr>
    </w:p>
    <w:p w14:paraId="41194ED5" w14:textId="6439563C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Books, materials, and digital products</w:t>
      </w:r>
    </w:p>
    <w:p w14:paraId="02F21EAB" w14:textId="4E555FA8" w:rsidR="00335155" w:rsidRDefault="00335155" w:rsidP="00335155">
      <w:pPr>
        <w:pStyle w:val="ASDANparagraph"/>
        <w:numPr>
          <w:ilvl w:val="0"/>
          <w:numId w:val="28"/>
        </w:numPr>
      </w:pPr>
      <w:r>
        <w:t>Physical products are delivered to the registered address.</w:t>
      </w:r>
    </w:p>
    <w:p w14:paraId="1D8F3F12" w14:textId="065D7E11" w:rsidR="00335155" w:rsidRDefault="00335155" w:rsidP="00335155">
      <w:pPr>
        <w:pStyle w:val="ASDANparagraph"/>
        <w:numPr>
          <w:ilvl w:val="0"/>
          <w:numId w:val="28"/>
        </w:numPr>
      </w:pPr>
      <w:r>
        <w:t>Members are responsible for order accuracy; refunds are not issued for errors.</w:t>
      </w:r>
    </w:p>
    <w:p w14:paraId="1B734AD1" w14:textId="3A5AEAA2" w:rsidR="00335155" w:rsidRDefault="00335155" w:rsidP="00335155">
      <w:pPr>
        <w:pStyle w:val="ASDANparagraph"/>
        <w:numPr>
          <w:ilvl w:val="0"/>
          <w:numId w:val="28"/>
        </w:numPr>
      </w:pPr>
      <w:r>
        <w:t>Faulty or misprinted items may be returned within 30 days in original condition.</w:t>
      </w:r>
    </w:p>
    <w:p w14:paraId="310A0406" w14:textId="00E3ADD7" w:rsidR="00335155" w:rsidRDefault="00335155" w:rsidP="00335155">
      <w:pPr>
        <w:pStyle w:val="ASDANparagraph"/>
        <w:numPr>
          <w:ilvl w:val="0"/>
          <w:numId w:val="28"/>
        </w:numPr>
      </w:pPr>
      <w:r>
        <w:t>Digital products are non-refundable once accessed.</w:t>
      </w:r>
    </w:p>
    <w:p w14:paraId="55A72A32" w14:textId="77777777" w:rsidR="00335155" w:rsidRDefault="00335155" w:rsidP="00335155">
      <w:pPr>
        <w:pStyle w:val="ASDANparagraph"/>
        <w:rPr>
          <w:b/>
          <w:bCs/>
        </w:rPr>
      </w:pPr>
    </w:p>
    <w:p w14:paraId="68493AAF" w14:textId="0E1EFB9B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lastRenderedPageBreak/>
        <w:t>Learner registration and moderation</w:t>
      </w:r>
    </w:p>
    <w:p w14:paraId="5C5D49FA" w14:textId="787D961E" w:rsidR="00335155" w:rsidRDefault="00335155" w:rsidP="00335155">
      <w:pPr>
        <w:pStyle w:val="ASDANparagraph"/>
        <w:numPr>
          <w:ilvl w:val="0"/>
          <w:numId w:val="29"/>
        </w:numPr>
      </w:pPr>
      <w:r>
        <w:t>Members must follow ASDAN’s learner registration procedures.</w:t>
      </w:r>
    </w:p>
    <w:p w14:paraId="01EBE613" w14:textId="426E44EC" w:rsidR="00335155" w:rsidRDefault="00335155" w:rsidP="00335155">
      <w:pPr>
        <w:pStyle w:val="ASDANparagraph"/>
        <w:numPr>
          <w:ilvl w:val="0"/>
          <w:numId w:val="29"/>
        </w:numPr>
      </w:pPr>
      <w:r>
        <w:t>Registration fees are non-refundable and non-transferable.</w:t>
      </w:r>
    </w:p>
    <w:p w14:paraId="51E609BE" w14:textId="6EBDED69" w:rsidR="00335155" w:rsidRDefault="00335155" w:rsidP="00335155">
      <w:pPr>
        <w:pStyle w:val="ASDANparagraph"/>
        <w:numPr>
          <w:ilvl w:val="0"/>
          <w:numId w:val="29"/>
        </w:numPr>
      </w:pPr>
      <w:r>
        <w:t>Unused learner registrations expire after the published period.</w:t>
      </w:r>
    </w:p>
    <w:p w14:paraId="0110A9A1" w14:textId="34E3FC04" w:rsidR="00335155" w:rsidRDefault="00335155" w:rsidP="00335155">
      <w:pPr>
        <w:pStyle w:val="ASDANparagraph"/>
        <w:numPr>
          <w:ilvl w:val="0"/>
          <w:numId w:val="29"/>
        </w:numPr>
      </w:pPr>
      <w:r>
        <w:t>Members must purchase required books and registrations; ASDAN may invoice for any shortfalls.</w:t>
      </w:r>
    </w:p>
    <w:p w14:paraId="7748234F" w14:textId="48D4E088" w:rsidR="00335155" w:rsidRDefault="00335155" w:rsidP="00335155">
      <w:pPr>
        <w:pStyle w:val="ASDANparagraph"/>
        <w:numPr>
          <w:ilvl w:val="0"/>
          <w:numId w:val="29"/>
        </w:numPr>
      </w:pPr>
      <w:r>
        <w:t>Postal moderation: use a tracked service; ASDAN is not liable for transit losses.</w:t>
      </w:r>
    </w:p>
    <w:p w14:paraId="13C12047" w14:textId="77777777" w:rsidR="00335155" w:rsidRDefault="00335155" w:rsidP="00335155">
      <w:pPr>
        <w:pStyle w:val="ASDANparagraph"/>
        <w:rPr>
          <w:b/>
          <w:bCs/>
        </w:rPr>
      </w:pPr>
    </w:p>
    <w:p w14:paraId="257F72C8" w14:textId="6EC4ECE6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Events and training</w:t>
      </w:r>
    </w:p>
    <w:p w14:paraId="25632306" w14:textId="63F9BE7E" w:rsidR="00335155" w:rsidRDefault="00335155" w:rsidP="00335155">
      <w:pPr>
        <w:pStyle w:val="ASDANparagraph"/>
        <w:numPr>
          <w:ilvl w:val="0"/>
          <w:numId w:val="30"/>
        </w:numPr>
      </w:pPr>
      <w:r>
        <w:t>Events must be booked via the ASDAN website.</w:t>
      </w:r>
    </w:p>
    <w:p w14:paraId="674351C7" w14:textId="4E19F216" w:rsidR="00335155" w:rsidRDefault="00335155" w:rsidP="00335155">
      <w:pPr>
        <w:pStyle w:val="ASDANparagraph"/>
        <w:numPr>
          <w:ilvl w:val="0"/>
          <w:numId w:val="30"/>
        </w:numPr>
      </w:pPr>
      <w:r>
        <w:t>Cancellations seven plus working days before event: full credit; less than seven days: full fee payable.</w:t>
      </w:r>
    </w:p>
    <w:p w14:paraId="1CA52CC4" w14:textId="5D7A3115" w:rsidR="00335155" w:rsidRDefault="00335155" w:rsidP="00335155">
      <w:pPr>
        <w:pStyle w:val="ASDANparagraph"/>
        <w:numPr>
          <w:ilvl w:val="0"/>
          <w:numId w:val="30"/>
        </w:numPr>
      </w:pPr>
      <w:r>
        <w:t>ASDAN may cancel/reschedule events due to extreme circumstances but is not liable for travel or accommodation costs.</w:t>
      </w:r>
    </w:p>
    <w:p w14:paraId="3EF5B974" w14:textId="77777777" w:rsidR="00335155" w:rsidRDefault="00335155" w:rsidP="00335155">
      <w:pPr>
        <w:pStyle w:val="ASDANparagraph"/>
        <w:rPr>
          <w:b/>
          <w:bCs/>
        </w:rPr>
      </w:pPr>
    </w:p>
    <w:p w14:paraId="07B31D25" w14:textId="37B53D19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E-portfolio and online platforms</w:t>
      </w:r>
    </w:p>
    <w:p w14:paraId="7D71C1EB" w14:textId="52F44D86" w:rsidR="00335155" w:rsidRDefault="00335155" w:rsidP="00335155">
      <w:pPr>
        <w:pStyle w:val="ASDANparagraph"/>
        <w:numPr>
          <w:ilvl w:val="0"/>
          <w:numId w:val="31"/>
        </w:numPr>
      </w:pPr>
      <w:r>
        <w:t>ASDAN retains learner evidence for the course duration plus one year (Key Steps four years; Short Courses three years).</w:t>
      </w:r>
    </w:p>
    <w:p w14:paraId="10295E64" w14:textId="4E7E83AC" w:rsidR="00335155" w:rsidRDefault="00335155" w:rsidP="00335155">
      <w:pPr>
        <w:pStyle w:val="ASDANparagraph"/>
        <w:numPr>
          <w:ilvl w:val="0"/>
          <w:numId w:val="31"/>
        </w:numPr>
      </w:pPr>
      <w:r>
        <w:t>Members should keep their own copies of e-portfolio summaries.</w:t>
      </w:r>
    </w:p>
    <w:p w14:paraId="1E16EC49" w14:textId="7AD5F24D" w:rsidR="00335155" w:rsidRDefault="00335155" w:rsidP="00335155">
      <w:pPr>
        <w:pStyle w:val="ASDANparagraph"/>
        <w:numPr>
          <w:ilvl w:val="0"/>
          <w:numId w:val="31"/>
        </w:numPr>
      </w:pPr>
      <w:r>
        <w:t>Video/audio must be uploaded as secure links; ASDAN is not responsible for hosting files.</w:t>
      </w:r>
    </w:p>
    <w:p w14:paraId="70736AB5" w14:textId="0858B3F7" w:rsidR="00335155" w:rsidRDefault="00335155" w:rsidP="00335155">
      <w:pPr>
        <w:pStyle w:val="ASDANparagraph"/>
        <w:numPr>
          <w:ilvl w:val="0"/>
          <w:numId w:val="31"/>
        </w:numPr>
      </w:pPr>
      <w:r>
        <w:t>E-portfolio registrations are non-refundable but can be transferred to another learner or exchanged for a student book if purchased in error.</w:t>
      </w:r>
    </w:p>
    <w:p w14:paraId="5C9D680A" w14:textId="77777777" w:rsidR="00335155" w:rsidRDefault="00335155" w:rsidP="00335155">
      <w:pPr>
        <w:pStyle w:val="ASDANparagraph"/>
      </w:pPr>
    </w:p>
    <w:p w14:paraId="16D198D1" w14:textId="153A9885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Certificates</w:t>
      </w:r>
    </w:p>
    <w:p w14:paraId="01E05588" w14:textId="7E5EFD9A" w:rsidR="00335155" w:rsidRDefault="00335155" w:rsidP="00335155">
      <w:pPr>
        <w:pStyle w:val="ASDANparagraph"/>
        <w:numPr>
          <w:ilvl w:val="0"/>
          <w:numId w:val="35"/>
        </w:numPr>
      </w:pPr>
      <w:r>
        <w:t>Requests for replacement certificates must be in writing with reason provided.</w:t>
      </w:r>
    </w:p>
    <w:p w14:paraId="163E0073" w14:textId="6E528ED3" w:rsidR="00335155" w:rsidRDefault="00335155" w:rsidP="00335155">
      <w:pPr>
        <w:pStyle w:val="ASDANparagraph"/>
        <w:numPr>
          <w:ilvl w:val="0"/>
          <w:numId w:val="35"/>
        </w:numPr>
      </w:pPr>
      <w:r>
        <w:t>Members pay for replacements unless the error is ASDAN’s.</w:t>
      </w:r>
    </w:p>
    <w:p w14:paraId="63A3FE8A" w14:textId="18C45DD4" w:rsidR="00335155" w:rsidRDefault="00335155" w:rsidP="00335155">
      <w:pPr>
        <w:pStyle w:val="ASDANparagraph"/>
        <w:numPr>
          <w:ilvl w:val="0"/>
          <w:numId w:val="35"/>
        </w:numPr>
      </w:pPr>
      <w:r>
        <w:t>Damaged or erroneous certificates must be returned before replacement.</w:t>
      </w:r>
    </w:p>
    <w:p w14:paraId="3418DCBB" w14:textId="77777777" w:rsidR="00335155" w:rsidRDefault="00335155" w:rsidP="00335155">
      <w:pPr>
        <w:pStyle w:val="ASDANparagraph"/>
        <w:rPr>
          <w:b/>
          <w:bCs/>
        </w:rPr>
      </w:pPr>
    </w:p>
    <w:p w14:paraId="713C0F05" w14:textId="77777777" w:rsidR="00335155" w:rsidRDefault="00335155" w:rsidP="00335155">
      <w:pPr>
        <w:pStyle w:val="ASDANparagraph"/>
        <w:rPr>
          <w:b/>
          <w:bCs/>
        </w:rPr>
      </w:pPr>
    </w:p>
    <w:p w14:paraId="2568DEE8" w14:textId="38D8D3A4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lastRenderedPageBreak/>
        <w:t>Data protection (GDPR)</w:t>
      </w:r>
    </w:p>
    <w:p w14:paraId="433C3DE7" w14:textId="681ACBE8" w:rsidR="00335155" w:rsidRPr="00335155" w:rsidRDefault="00335155" w:rsidP="00335155">
      <w:pPr>
        <w:pStyle w:val="ASDANparagraph"/>
        <w:numPr>
          <w:ilvl w:val="0"/>
          <w:numId w:val="32"/>
        </w:numPr>
      </w:pPr>
      <w:r w:rsidRPr="00335155">
        <w:t>ASDAN complies with GDPR and the Data Protection Act 2018.</w:t>
      </w:r>
    </w:p>
    <w:p w14:paraId="791F95AA" w14:textId="7D7A3A32" w:rsidR="00335155" w:rsidRPr="00335155" w:rsidRDefault="00335155" w:rsidP="00335155">
      <w:pPr>
        <w:pStyle w:val="ASDANparagraph"/>
        <w:numPr>
          <w:ilvl w:val="0"/>
          <w:numId w:val="32"/>
        </w:numPr>
      </w:pPr>
      <w:r w:rsidRPr="00335155">
        <w:t>Members must also comply and indemnify ASDAN against breaches.</w:t>
      </w:r>
    </w:p>
    <w:p w14:paraId="4BBD974A" w14:textId="050FCC35" w:rsidR="00335155" w:rsidRPr="00335155" w:rsidRDefault="00335155" w:rsidP="00335155">
      <w:pPr>
        <w:pStyle w:val="ASDANparagraph"/>
        <w:numPr>
          <w:ilvl w:val="0"/>
          <w:numId w:val="32"/>
        </w:numPr>
      </w:pPr>
      <w:r w:rsidRPr="00335155">
        <w:t>ASDAN does not share personal data for marketing without consent.</w:t>
      </w:r>
    </w:p>
    <w:p w14:paraId="7BACA9AD" w14:textId="77777777" w:rsidR="00335155" w:rsidRDefault="00335155" w:rsidP="00335155">
      <w:pPr>
        <w:pStyle w:val="ASDANparagraph"/>
      </w:pPr>
    </w:p>
    <w:p w14:paraId="4361C787" w14:textId="69FB8B5D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Website access and security</w:t>
      </w:r>
    </w:p>
    <w:p w14:paraId="19305120" w14:textId="123BEC9D" w:rsidR="00335155" w:rsidRDefault="00335155" w:rsidP="00335155">
      <w:pPr>
        <w:pStyle w:val="ASDANparagraph"/>
        <w:numPr>
          <w:ilvl w:val="0"/>
          <w:numId w:val="33"/>
        </w:numPr>
      </w:pPr>
      <w:r>
        <w:t>Members must keep usernames and passwords secure.</w:t>
      </w:r>
    </w:p>
    <w:p w14:paraId="6DA4EC40" w14:textId="7CB77408" w:rsidR="00335155" w:rsidRDefault="00335155" w:rsidP="00335155">
      <w:pPr>
        <w:pStyle w:val="ASDANparagraph"/>
        <w:numPr>
          <w:ilvl w:val="0"/>
          <w:numId w:val="33"/>
        </w:numPr>
      </w:pPr>
      <w:r>
        <w:t>Report suspected unauthorised access immediately.</w:t>
      </w:r>
    </w:p>
    <w:p w14:paraId="6B0832DB" w14:textId="71D0320E" w:rsidR="00335155" w:rsidRDefault="00335155" w:rsidP="00335155">
      <w:pPr>
        <w:pStyle w:val="ASDANparagraph"/>
        <w:numPr>
          <w:ilvl w:val="0"/>
          <w:numId w:val="33"/>
        </w:numPr>
      </w:pPr>
      <w:r>
        <w:t>ASDAN may withdraw access if misuse is suspected.</w:t>
      </w:r>
    </w:p>
    <w:p w14:paraId="649017C5" w14:textId="77777777" w:rsidR="00335155" w:rsidRDefault="00335155" w:rsidP="00335155">
      <w:pPr>
        <w:pStyle w:val="ASDANparagraph"/>
        <w:rPr>
          <w:b/>
          <w:bCs/>
        </w:rPr>
      </w:pPr>
    </w:p>
    <w:p w14:paraId="3493F312" w14:textId="1D125D40" w:rsidR="00335155" w:rsidRPr="00335155" w:rsidRDefault="00335155" w:rsidP="00335155">
      <w:pPr>
        <w:pStyle w:val="ASDANparagraph"/>
        <w:rPr>
          <w:b/>
          <w:bCs/>
        </w:rPr>
      </w:pPr>
      <w:r w:rsidRPr="00335155">
        <w:rPr>
          <w:b/>
          <w:bCs/>
        </w:rPr>
        <w:t>International members</w:t>
      </w:r>
    </w:p>
    <w:p w14:paraId="2AE0C897" w14:textId="4624B202" w:rsidR="00335155" w:rsidRPr="00335155" w:rsidRDefault="00335155" w:rsidP="00335155">
      <w:pPr>
        <w:pStyle w:val="ASDANparagraph"/>
        <w:numPr>
          <w:ilvl w:val="0"/>
          <w:numId w:val="34"/>
        </w:numPr>
      </w:pPr>
      <w:r w:rsidRPr="00335155">
        <w:t>Subject to the same terms as UK members.</w:t>
      </w:r>
    </w:p>
    <w:p w14:paraId="5DB6FE73" w14:textId="5C11AD79" w:rsidR="00CF49DD" w:rsidRPr="00335155" w:rsidRDefault="00335155" w:rsidP="00335155">
      <w:pPr>
        <w:pStyle w:val="ASDANparagraph"/>
        <w:numPr>
          <w:ilvl w:val="0"/>
          <w:numId w:val="34"/>
        </w:numPr>
      </w:pPr>
      <w:r w:rsidRPr="00335155">
        <w:t>Must fund any quality assurance visits required by ASDAN.</w:t>
      </w:r>
    </w:p>
    <w:sectPr w:rsidR="00CF49DD" w:rsidRPr="00335155" w:rsidSect="00A01368">
      <w:headerReference w:type="default" r:id="rId8"/>
      <w:footerReference w:type="default" r:id="rId9"/>
      <w:pgSz w:w="11900" w:h="16840"/>
      <w:pgMar w:top="1701" w:right="851" w:bottom="2268" w:left="85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FCC8" w14:textId="77777777" w:rsidR="00335155" w:rsidRDefault="00335155" w:rsidP="002568EC">
      <w:pPr>
        <w:spacing w:after="0" w:line="240" w:lineRule="auto"/>
      </w:pPr>
      <w:r>
        <w:separator/>
      </w:r>
    </w:p>
  </w:endnote>
  <w:endnote w:type="continuationSeparator" w:id="0">
    <w:p w14:paraId="4E744223" w14:textId="77777777" w:rsidR="00335155" w:rsidRDefault="00335155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0043" w14:textId="3C6466F4" w:rsidR="00A438C7" w:rsidRPr="0088093A" w:rsidRDefault="005418CF" w:rsidP="00A438C7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  <w:r w:rsidRPr="0088093A">
      <w:rPr>
        <w:rFonts w:ascii="Arial" w:hAnsi="Arial" w:cs="Arial"/>
        <w:noProof/>
        <w:color w:val="727271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63360" behindDoc="1" locked="1" layoutInCell="1" allowOverlap="0" wp14:anchorId="41A3C9E4" wp14:editId="438511E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762000" cy="133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2000" cy="133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38C7">
      <w:rPr>
        <w:rFonts w:ascii="Arial" w:hAnsi="Arial" w:cs="Arial"/>
        <w:color w:val="727271" w:themeColor="text1" w:themeTint="BF"/>
        <w:sz w:val="22"/>
        <w:szCs w:val="22"/>
      </w:rPr>
      <w:t>August 2025</w:t>
    </w:r>
  </w:p>
  <w:p w14:paraId="7FB2EFDD" w14:textId="7526C8F8" w:rsidR="002B0E30" w:rsidRPr="0088093A" w:rsidRDefault="002B0E30" w:rsidP="002568EC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8C01" w14:textId="77777777" w:rsidR="00335155" w:rsidRDefault="00335155" w:rsidP="002568EC">
      <w:pPr>
        <w:spacing w:after="0" w:line="240" w:lineRule="auto"/>
      </w:pPr>
      <w:r>
        <w:separator/>
      </w:r>
    </w:p>
  </w:footnote>
  <w:footnote w:type="continuationSeparator" w:id="0">
    <w:p w14:paraId="2F3D78EF" w14:textId="77777777" w:rsidR="00335155" w:rsidRDefault="00335155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A86E" w14:textId="6C7BC32E" w:rsidR="005418CF" w:rsidRPr="00335155" w:rsidRDefault="00335155" w:rsidP="00335155">
    <w:pPr>
      <w:pStyle w:val="Header"/>
    </w:pPr>
    <w:r w:rsidRPr="00335155">
      <w:rPr>
        <w:rFonts w:ascii="Arial" w:hAnsi="Arial"/>
        <w:color w:val="727271" w:themeColor="text1" w:themeTint="BF"/>
        <w:sz w:val="32"/>
        <w:szCs w:val="32"/>
      </w:rPr>
      <w:t>ASDAN terms and conditions of supply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BF8"/>
    <w:multiLevelType w:val="hybridMultilevel"/>
    <w:tmpl w:val="C99E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018B"/>
    <w:multiLevelType w:val="hybridMultilevel"/>
    <w:tmpl w:val="A8205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46D6A"/>
    <w:multiLevelType w:val="hybridMultilevel"/>
    <w:tmpl w:val="93247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00718"/>
    <w:multiLevelType w:val="hybridMultilevel"/>
    <w:tmpl w:val="8DDE1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7E58"/>
    <w:multiLevelType w:val="hybridMultilevel"/>
    <w:tmpl w:val="A6186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0393B"/>
    <w:multiLevelType w:val="hybridMultilevel"/>
    <w:tmpl w:val="9CD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4A9C"/>
    <w:multiLevelType w:val="hybridMultilevel"/>
    <w:tmpl w:val="16FA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A19B0"/>
    <w:multiLevelType w:val="hybridMultilevel"/>
    <w:tmpl w:val="757A3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13F60"/>
    <w:multiLevelType w:val="hybridMultilevel"/>
    <w:tmpl w:val="0DC0C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17C63"/>
    <w:multiLevelType w:val="hybridMultilevel"/>
    <w:tmpl w:val="73367908"/>
    <w:lvl w:ilvl="0" w:tplc="CA06C38E">
      <w:start w:val="1"/>
      <w:numFmt w:val="bullet"/>
      <w:pStyle w:val="ASDAN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21F9"/>
    <w:multiLevelType w:val="hybridMultilevel"/>
    <w:tmpl w:val="D648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96AA1"/>
    <w:multiLevelType w:val="hybridMultilevel"/>
    <w:tmpl w:val="C8F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33E3"/>
    <w:multiLevelType w:val="hybridMultilevel"/>
    <w:tmpl w:val="6D420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B5479"/>
    <w:multiLevelType w:val="hybridMultilevel"/>
    <w:tmpl w:val="D264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129F"/>
    <w:multiLevelType w:val="hybridMultilevel"/>
    <w:tmpl w:val="1FB23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C757B"/>
    <w:multiLevelType w:val="hybridMultilevel"/>
    <w:tmpl w:val="7BA4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F88"/>
    <w:multiLevelType w:val="hybridMultilevel"/>
    <w:tmpl w:val="F968D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01842"/>
    <w:multiLevelType w:val="hybridMultilevel"/>
    <w:tmpl w:val="8670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AB1D80"/>
    <w:multiLevelType w:val="hybridMultilevel"/>
    <w:tmpl w:val="DF4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D4245"/>
    <w:multiLevelType w:val="hybridMultilevel"/>
    <w:tmpl w:val="310A9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F4196"/>
    <w:multiLevelType w:val="hybridMultilevel"/>
    <w:tmpl w:val="9E523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44ACE"/>
    <w:multiLevelType w:val="hybridMultilevel"/>
    <w:tmpl w:val="1B0AC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92C9B"/>
    <w:multiLevelType w:val="hybridMultilevel"/>
    <w:tmpl w:val="E5F0D5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759093">
    <w:abstractNumId w:val="21"/>
  </w:num>
  <w:num w:numId="2" w16cid:durableId="2018186923">
    <w:abstractNumId w:val="23"/>
  </w:num>
  <w:num w:numId="3" w16cid:durableId="1020159946">
    <w:abstractNumId w:val="32"/>
  </w:num>
  <w:num w:numId="4" w16cid:durableId="1373071235">
    <w:abstractNumId w:val="12"/>
  </w:num>
  <w:num w:numId="5" w16cid:durableId="666640312">
    <w:abstractNumId w:val="10"/>
  </w:num>
  <w:num w:numId="6" w16cid:durableId="980888769">
    <w:abstractNumId w:val="16"/>
  </w:num>
  <w:num w:numId="7" w16cid:durableId="734007735">
    <w:abstractNumId w:val="30"/>
  </w:num>
  <w:num w:numId="8" w16cid:durableId="713849907">
    <w:abstractNumId w:val="22"/>
  </w:num>
  <w:num w:numId="9" w16cid:durableId="675378461">
    <w:abstractNumId w:val="24"/>
  </w:num>
  <w:num w:numId="10" w16cid:durableId="985007463">
    <w:abstractNumId w:val="14"/>
  </w:num>
  <w:num w:numId="11" w16cid:durableId="750084685">
    <w:abstractNumId w:val="6"/>
  </w:num>
  <w:num w:numId="12" w16cid:durableId="1198814623">
    <w:abstractNumId w:val="18"/>
  </w:num>
  <w:num w:numId="13" w16cid:durableId="1620718103">
    <w:abstractNumId w:val="5"/>
  </w:num>
  <w:num w:numId="14" w16cid:durableId="1804618342">
    <w:abstractNumId w:val="13"/>
  </w:num>
  <w:num w:numId="15" w16cid:durableId="1096514442">
    <w:abstractNumId w:val="27"/>
  </w:num>
  <w:num w:numId="16" w16cid:durableId="1869558820">
    <w:abstractNumId w:val="8"/>
  </w:num>
  <w:num w:numId="17" w16cid:durableId="884217654">
    <w:abstractNumId w:val="1"/>
  </w:num>
  <w:num w:numId="18" w16cid:durableId="1782915051">
    <w:abstractNumId w:val="29"/>
  </w:num>
  <w:num w:numId="19" w16cid:durableId="1150827450">
    <w:abstractNumId w:val="20"/>
  </w:num>
  <w:num w:numId="20" w16cid:durableId="345058617">
    <w:abstractNumId w:val="11"/>
  </w:num>
  <w:num w:numId="21" w16cid:durableId="60058368">
    <w:abstractNumId w:val="4"/>
  </w:num>
  <w:num w:numId="22" w16cid:durableId="1947495602">
    <w:abstractNumId w:val="34"/>
  </w:num>
  <w:num w:numId="23" w16cid:durableId="98570105">
    <w:abstractNumId w:val="17"/>
  </w:num>
  <w:num w:numId="24" w16cid:durableId="589778934">
    <w:abstractNumId w:val="25"/>
  </w:num>
  <w:num w:numId="25" w16cid:durableId="994605289">
    <w:abstractNumId w:val="15"/>
  </w:num>
  <w:num w:numId="26" w16cid:durableId="1327780367">
    <w:abstractNumId w:val="19"/>
  </w:num>
  <w:num w:numId="27" w16cid:durableId="1897007458">
    <w:abstractNumId w:val="7"/>
  </w:num>
  <w:num w:numId="28" w16cid:durableId="1343557167">
    <w:abstractNumId w:val="26"/>
  </w:num>
  <w:num w:numId="29" w16cid:durableId="247272949">
    <w:abstractNumId w:val="2"/>
  </w:num>
  <w:num w:numId="30" w16cid:durableId="977078354">
    <w:abstractNumId w:val="28"/>
  </w:num>
  <w:num w:numId="31" w16cid:durableId="359623894">
    <w:abstractNumId w:val="9"/>
  </w:num>
  <w:num w:numId="32" w16cid:durableId="1982995340">
    <w:abstractNumId w:val="0"/>
  </w:num>
  <w:num w:numId="33" w16cid:durableId="432212401">
    <w:abstractNumId w:val="31"/>
  </w:num>
  <w:num w:numId="34" w16cid:durableId="1720980087">
    <w:abstractNumId w:val="3"/>
  </w:num>
  <w:num w:numId="35" w16cid:durableId="21410728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55"/>
    <w:rsid w:val="00027388"/>
    <w:rsid w:val="000370BF"/>
    <w:rsid w:val="0004422F"/>
    <w:rsid w:val="000C2BA4"/>
    <w:rsid w:val="00110783"/>
    <w:rsid w:val="00133F3F"/>
    <w:rsid w:val="00145FFF"/>
    <w:rsid w:val="00153102"/>
    <w:rsid w:val="00173416"/>
    <w:rsid w:val="0019625C"/>
    <w:rsid w:val="00210BA1"/>
    <w:rsid w:val="00215348"/>
    <w:rsid w:val="00224C20"/>
    <w:rsid w:val="00233CDA"/>
    <w:rsid w:val="002549E3"/>
    <w:rsid w:val="002568EC"/>
    <w:rsid w:val="002605A8"/>
    <w:rsid w:val="00275F0F"/>
    <w:rsid w:val="0029709A"/>
    <w:rsid w:val="002B0E30"/>
    <w:rsid w:val="002F016C"/>
    <w:rsid w:val="003078E7"/>
    <w:rsid w:val="00335155"/>
    <w:rsid w:val="003A58D7"/>
    <w:rsid w:val="003D0A94"/>
    <w:rsid w:val="003D267D"/>
    <w:rsid w:val="00433440"/>
    <w:rsid w:val="0046418F"/>
    <w:rsid w:val="004700F5"/>
    <w:rsid w:val="00496731"/>
    <w:rsid w:val="004B480F"/>
    <w:rsid w:val="004C35DC"/>
    <w:rsid w:val="00532DBC"/>
    <w:rsid w:val="005418CF"/>
    <w:rsid w:val="005D28F6"/>
    <w:rsid w:val="005F7F2B"/>
    <w:rsid w:val="00613CB7"/>
    <w:rsid w:val="0068447B"/>
    <w:rsid w:val="00686F74"/>
    <w:rsid w:val="006B4183"/>
    <w:rsid w:val="006C0DB4"/>
    <w:rsid w:val="006F7D0B"/>
    <w:rsid w:val="006F7E4E"/>
    <w:rsid w:val="00747BDE"/>
    <w:rsid w:val="007C6FB9"/>
    <w:rsid w:val="007D1672"/>
    <w:rsid w:val="008238A3"/>
    <w:rsid w:val="00830086"/>
    <w:rsid w:val="0088093A"/>
    <w:rsid w:val="008B3B27"/>
    <w:rsid w:val="008F2FD0"/>
    <w:rsid w:val="008F50EC"/>
    <w:rsid w:val="008F56D0"/>
    <w:rsid w:val="00972599"/>
    <w:rsid w:val="00A01368"/>
    <w:rsid w:val="00A438C7"/>
    <w:rsid w:val="00AB6A7D"/>
    <w:rsid w:val="00AE3B73"/>
    <w:rsid w:val="00AF7C56"/>
    <w:rsid w:val="00B05113"/>
    <w:rsid w:val="00B156DE"/>
    <w:rsid w:val="00B31DE9"/>
    <w:rsid w:val="00BB6C63"/>
    <w:rsid w:val="00BE6880"/>
    <w:rsid w:val="00BF0695"/>
    <w:rsid w:val="00BF08A4"/>
    <w:rsid w:val="00C1107E"/>
    <w:rsid w:val="00CB613C"/>
    <w:rsid w:val="00CD623C"/>
    <w:rsid w:val="00CE4276"/>
    <w:rsid w:val="00CF49DD"/>
    <w:rsid w:val="00D73EEC"/>
    <w:rsid w:val="00D77805"/>
    <w:rsid w:val="00D940B9"/>
    <w:rsid w:val="00DA0235"/>
    <w:rsid w:val="00DC6F32"/>
    <w:rsid w:val="00DF5124"/>
    <w:rsid w:val="00DF6DAD"/>
    <w:rsid w:val="00E24724"/>
    <w:rsid w:val="00E325ED"/>
    <w:rsid w:val="00EA0052"/>
    <w:rsid w:val="00ED0251"/>
    <w:rsid w:val="00EF2F86"/>
    <w:rsid w:val="00F46522"/>
    <w:rsid w:val="00F77377"/>
    <w:rsid w:val="00F83F7A"/>
    <w:rsid w:val="00FB2EFE"/>
    <w:rsid w:val="00FD4552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B55B69"/>
  <w14:defaultImageDpi w14:val="330"/>
  <w15:chartTrackingRefBased/>
  <w15:docId w15:val="{C8DB0E2C-77DC-4ED6-86A2-682B5E2B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8EC"/>
    <w:pPr>
      <w:spacing w:after="200" w:line="276" w:lineRule="auto"/>
    </w:pPr>
    <w:rPr>
      <w:rFonts w:ascii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33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F146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3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F146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1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F146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1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F14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1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F14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1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85858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1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85858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1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5F5F5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1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F5F5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D71B8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6D0"/>
    <w:rPr>
      <w:rFonts w:ascii="Calibri" w:eastAsia="Calibri" w:hAnsi="Calibri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6D0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F2B"/>
    <w:rPr>
      <w:color w:val="605E5C"/>
      <w:shd w:val="clear" w:color="auto" w:fill="E1DFDD"/>
    </w:rPr>
  </w:style>
  <w:style w:type="paragraph" w:customStyle="1" w:styleId="ASDANparagraph">
    <w:name w:val="ASDAN paragraph"/>
    <w:basedOn w:val="Normal"/>
    <w:link w:val="ASDANparagraphChar"/>
    <w:qFormat/>
    <w:rsid w:val="002B0E30"/>
    <w:pPr>
      <w:spacing w:after="120"/>
    </w:pPr>
    <w:rPr>
      <w:rFonts w:ascii="Arial" w:hAnsi="Arial" w:cs="Arial"/>
      <w:sz w:val="24"/>
      <w:szCs w:val="24"/>
      <w:lang w:val="en-US"/>
    </w:rPr>
  </w:style>
  <w:style w:type="paragraph" w:customStyle="1" w:styleId="ASDANbullets">
    <w:name w:val="ASDAN bullets"/>
    <w:basedOn w:val="ListParagraph"/>
    <w:link w:val="ASDANbulletsChar"/>
    <w:qFormat/>
    <w:rsid w:val="002B0E30"/>
    <w:pPr>
      <w:numPr>
        <w:numId w:val="20"/>
      </w:numPr>
      <w:spacing w:after="120"/>
      <w:ind w:left="357" w:hanging="357"/>
    </w:pPr>
    <w:rPr>
      <w:rFonts w:ascii="Arial" w:hAnsi="Arial" w:cs="Arial"/>
      <w:sz w:val="24"/>
      <w:szCs w:val="24"/>
      <w:lang w:val="en-US"/>
    </w:rPr>
  </w:style>
  <w:style w:type="character" w:customStyle="1" w:styleId="ASDANparagraphChar">
    <w:name w:val="ASDAN paragraph Char"/>
    <w:basedOn w:val="DefaultParagraphFont"/>
    <w:link w:val="ASDANparagraph"/>
    <w:rsid w:val="002B0E30"/>
    <w:rPr>
      <w:rFonts w:ascii="Arial" w:eastAsia="Calibri" w:hAnsi="Arial" w:cs="Arial"/>
    </w:rPr>
  </w:style>
  <w:style w:type="paragraph" w:customStyle="1" w:styleId="ASDANsmallheadings">
    <w:name w:val="ASDAN small headings"/>
    <w:basedOn w:val="Normal"/>
    <w:link w:val="ASDANsmallheadingsChar"/>
    <w:qFormat/>
    <w:rsid w:val="002B0E30"/>
    <w:pPr>
      <w:spacing w:before="40" w:after="120"/>
    </w:pPr>
    <w:rPr>
      <w:rFonts w:ascii="Arial" w:hAnsi="Arial" w:cs="Arial"/>
      <w:b/>
      <w:sz w:val="28"/>
      <w:szCs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E30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ASDANbulletsChar">
    <w:name w:val="ASDAN bullets Char"/>
    <w:basedOn w:val="ListParagraphChar"/>
    <w:link w:val="ASDANbullets"/>
    <w:rsid w:val="002B0E30"/>
    <w:rPr>
      <w:rFonts w:ascii="Arial" w:eastAsia="Calibri" w:hAnsi="Arial" w:cs="Arial"/>
      <w:sz w:val="22"/>
      <w:szCs w:val="22"/>
      <w:lang w:val="en-GB"/>
    </w:rPr>
  </w:style>
  <w:style w:type="paragraph" w:customStyle="1" w:styleId="ASDANbigheadings">
    <w:name w:val="ASDAN big headings"/>
    <w:basedOn w:val="Normal"/>
    <w:link w:val="ASDANbigheadingsChar"/>
    <w:qFormat/>
    <w:rsid w:val="002B0E30"/>
    <w:pPr>
      <w:spacing w:before="200" w:after="120"/>
    </w:pPr>
    <w:rPr>
      <w:rFonts w:ascii="Arial" w:hAnsi="Arial" w:cs="Arial"/>
      <w:sz w:val="32"/>
      <w:szCs w:val="32"/>
      <w:lang w:val="en-US"/>
    </w:rPr>
  </w:style>
  <w:style w:type="character" w:customStyle="1" w:styleId="ASDANsmallheadingsChar">
    <w:name w:val="ASDAN small headings Char"/>
    <w:basedOn w:val="DefaultParagraphFont"/>
    <w:link w:val="ASDANsmallheadings"/>
    <w:rsid w:val="002B0E30"/>
    <w:rPr>
      <w:rFonts w:ascii="Arial" w:eastAsia="Calibri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68"/>
    <w:pPr>
      <w:spacing w:after="0" w:line="240" w:lineRule="auto"/>
    </w:pPr>
    <w:rPr>
      <w:sz w:val="20"/>
      <w:szCs w:val="20"/>
    </w:rPr>
  </w:style>
  <w:style w:type="character" w:customStyle="1" w:styleId="ASDANbigheadingsChar">
    <w:name w:val="ASDAN big headings Char"/>
    <w:basedOn w:val="DefaultParagraphFont"/>
    <w:link w:val="ASDANbigheadings"/>
    <w:rsid w:val="002B0E30"/>
    <w:rPr>
      <w:rFonts w:ascii="Arial" w:eastAsia="Calibri" w:hAnsi="Arial" w:cs="Arial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68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01368"/>
    <w:rPr>
      <w:vertAlign w:val="superscript"/>
    </w:rPr>
  </w:style>
  <w:style w:type="paragraph" w:customStyle="1" w:styleId="ASDANfootnotesandcaptions">
    <w:name w:val="ASDAN footnotes and captions"/>
    <w:basedOn w:val="FootnoteText"/>
    <w:link w:val="ASDANfootnotesandcaptionsChar"/>
    <w:qFormat/>
    <w:rsid w:val="00A01368"/>
    <w:rPr>
      <w:rFonts w:ascii="Arial" w:hAnsi="Arial" w:cs="Arial"/>
      <w:sz w:val="22"/>
      <w:szCs w:val="22"/>
    </w:rPr>
  </w:style>
  <w:style w:type="character" w:customStyle="1" w:styleId="ASDANfootnotesandcaptionsChar">
    <w:name w:val="ASDAN footnotes and captions Char"/>
    <w:basedOn w:val="FootnoteTextChar"/>
    <w:link w:val="ASDANfootnotesandcaptions"/>
    <w:rsid w:val="00A01368"/>
    <w:rPr>
      <w:rFonts w:ascii="Arial" w:eastAsia="Calibri" w:hAnsi="Arial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5155"/>
    <w:rPr>
      <w:rFonts w:asciiTheme="majorHAnsi" w:eastAsiaTheme="majorEastAsia" w:hAnsiTheme="majorHAnsi" w:cstheme="majorBidi"/>
      <w:color w:val="6F1460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155"/>
    <w:rPr>
      <w:rFonts w:asciiTheme="majorHAnsi" w:eastAsiaTheme="majorEastAsia" w:hAnsiTheme="majorHAnsi" w:cstheme="majorBidi"/>
      <w:color w:val="6F1460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155"/>
    <w:rPr>
      <w:rFonts w:eastAsiaTheme="majorEastAsia" w:cstheme="majorBidi"/>
      <w:color w:val="6F1460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155"/>
    <w:rPr>
      <w:rFonts w:eastAsiaTheme="majorEastAsia" w:cstheme="majorBidi"/>
      <w:i/>
      <w:iCs/>
      <w:color w:val="6F1460" w:themeColor="accent1" w:themeShade="BF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155"/>
    <w:rPr>
      <w:rFonts w:eastAsiaTheme="majorEastAsia" w:cstheme="majorBidi"/>
      <w:color w:val="6F1460" w:themeColor="accent1" w:themeShade="B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155"/>
    <w:rPr>
      <w:rFonts w:eastAsiaTheme="majorEastAsia" w:cstheme="majorBidi"/>
      <w:i/>
      <w:iCs/>
      <w:color w:val="858583" w:themeColor="text1" w:themeTint="A6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155"/>
    <w:rPr>
      <w:rFonts w:eastAsiaTheme="majorEastAsia" w:cstheme="majorBidi"/>
      <w:color w:val="858583" w:themeColor="text1" w:themeTint="A6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155"/>
    <w:rPr>
      <w:rFonts w:eastAsiaTheme="majorEastAsia" w:cstheme="majorBidi"/>
      <w:i/>
      <w:iCs/>
      <w:color w:val="5F5F5E" w:themeColor="text1" w:themeTint="D8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155"/>
    <w:rPr>
      <w:rFonts w:eastAsiaTheme="majorEastAsia" w:cstheme="majorBidi"/>
      <w:color w:val="5F5F5E" w:themeColor="text1" w:themeTint="D8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3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15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3351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85858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155"/>
    <w:rPr>
      <w:rFonts w:eastAsiaTheme="majorEastAsia" w:cstheme="majorBidi"/>
      <w:color w:val="858583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35155"/>
    <w:pPr>
      <w:spacing w:before="160" w:after="160"/>
      <w:jc w:val="center"/>
    </w:pPr>
    <w:rPr>
      <w:i/>
      <w:iCs/>
      <w:color w:val="72727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155"/>
    <w:rPr>
      <w:rFonts w:ascii="Calibri" w:hAnsi="Calibri" w:cs="Times New Roman"/>
      <w:i/>
      <w:iCs/>
      <w:color w:val="727271" w:themeColor="text1" w:themeTint="BF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rsid w:val="00335155"/>
    <w:rPr>
      <w:i/>
      <w:iCs/>
      <w:color w:val="6F146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35155"/>
    <w:pPr>
      <w:pBdr>
        <w:top w:val="single" w:sz="4" w:space="10" w:color="6F1460" w:themeColor="accent1" w:themeShade="BF"/>
        <w:bottom w:val="single" w:sz="4" w:space="10" w:color="6F1460" w:themeColor="accent1" w:themeShade="BF"/>
      </w:pBdr>
      <w:spacing w:before="360" w:after="360"/>
      <w:ind w:left="864" w:right="864"/>
      <w:jc w:val="center"/>
    </w:pPr>
    <w:rPr>
      <w:i/>
      <w:iCs/>
      <w:color w:val="6F146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155"/>
    <w:rPr>
      <w:rFonts w:ascii="Calibri" w:hAnsi="Calibri" w:cs="Times New Roman"/>
      <w:i/>
      <w:iCs/>
      <w:color w:val="6F1460" w:themeColor="accent1" w:themeShade="BF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32"/>
    <w:rsid w:val="00335155"/>
    <w:rPr>
      <w:b/>
      <w:bCs/>
      <w:smallCaps/>
      <w:color w:val="6F146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ASDAN brand">
      <a:dk1>
        <a:srgbClr val="434342"/>
      </a:dk1>
      <a:lt1>
        <a:sysClr val="window" lastClr="FFFFFF"/>
      </a:lt1>
      <a:dk2>
        <a:srgbClr val="6B6A6B"/>
      </a:dk2>
      <a:lt2>
        <a:srgbClr val="A9A9A9"/>
      </a:lt2>
      <a:accent1>
        <a:srgbClr val="951B81"/>
      </a:accent1>
      <a:accent2>
        <a:srgbClr val="E3175C"/>
      </a:accent2>
      <a:accent3>
        <a:srgbClr val="EB8719"/>
      </a:accent3>
      <a:accent4>
        <a:srgbClr val="008D36"/>
      </a:accent4>
      <a:accent5>
        <a:srgbClr val="009588"/>
      </a:accent5>
      <a:accent6>
        <a:srgbClr val="1D74B8"/>
      </a:accent6>
      <a:hlink>
        <a:srgbClr val="1D71B8"/>
      </a:hlink>
      <a:folHlink>
        <a:srgbClr val="29235C"/>
      </a:folHlink>
    </a:clrScheme>
    <a:fontScheme name="ASDA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3F2DF4-24A6-4A47-8A33-CF245CED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Mackie</dc:creator>
  <cp:keywords/>
  <dc:description/>
  <cp:lastModifiedBy>Colette Mackie</cp:lastModifiedBy>
  <cp:revision>2</cp:revision>
  <dcterms:created xsi:type="dcterms:W3CDTF">2025-08-05T09:14:00Z</dcterms:created>
  <dcterms:modified xsi:type="dcterms:W3CDTF">2025-08-06T12:40:00Z</dcterms:modified>
</cp:coreProperties>
</file>